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E695" w14:textId="77777777" w:rsidR="00930E85" w:rsidRPr="00930E85" w:rsidRDefault="00930E85" w:rsidP="00097CC5">
      <w:r w:rsidRPr="00930E85">
        <w:rPr>
          <w:noProof/>
        </w:rPr>
        <w:drawing>
          <wp:inline distT="0" distB="0" distL="0" distR="0" wp14:anchorId="6CC2090D" wp14:editId="37D681BF">
            <wp:extent cx="1981200" cy="495300"/>
            <wp:effectExtent l="0" t="0" r="0" b="0"/>
            <wp:docPr id="91935611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56111" name="Graphic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700" cy="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C146E" w14:textId="77777777" w:rsidR="00930E85" w:rsidRPr="00930E85" w:rsidRDefault="00930E85" w:rsidP="00097CC5">
      <w:pPr>
        <w:sectPr w:rsidR="00930E85" w:rsidRPr="00930E85" w:rsidSect="003E721B">
          <w:headerReference w:type="default" r:id="rId12"/>
          <w:footerReference w:type="default" r:id="rId13"/>
          <w:footerReference w:type="first" r:id="rId14"/>
          <w:pgSz w:w="12240" w:h="15840"/>
          <w:pgMar w:top="720" w:right="1440" w:bottom="1440" w:left="1440" w:header="720" w:footer="720" w:gutter="0"/>
          <w:cols w:num="3" w:space="720" w:equalWidth="0">
            <w:col w:w="3600" w:space="720"/>
            <w:col w:w="2160" w:space="720"/>
            <w:col w:w="2160"/>
          </w:cols>
          <w:titlePg/>
          <w:docGrid w:linePitch="360"/>
        </w:sectPr>
      </w:pPr>
    </w:p>
    <w:p w14:paraId="448D808B" w14:textId="77777777" w:rsidR="00473EBF" w:rsidRPr="00473EBF" w:rsidRDefault="00473EBF" w:rsidP="00473EBF">
      <w:pPr>
        <w:pStyle w:val="Heading4"/>
        <w:jc w:val="center"/>
      </w:pPr>
      <w:r w:rsidRPr="00473EBF">
        <w:t>McMaster University Default Prevention and Management:</w:t>
      </w:r>
    </w:p>
    <w:p w14:paraId="03892A38" w14:textId="77777777" w:rsidR="00473EBF" w:rsidRPr="00473EBF" w:rsidRDefault="00473EBF" w:rsidP="00473EBF">
      <w:pPr>
        <w:pStyle w:val="Heading4"/>
        <w:jc w:val="center"/>
      </w:pPr>
      <w:r w:rsidRPr="00473EBF">
        <w:t>A Plan for Student and School Success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4536"/>
      </w:tblGrid>
      <w:tr w:rsidR="00473EBF" w14:paraId="7F256592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D1A9D5E" w14:textId="2FF53985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I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113C97B" w14:textId="3F5EB93D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Overview</w:t>
            </w:r>
          </w:p>
        </w:tc>
      </w:tr>
      <w:tr w:rsidR="00473EBF" w14:paraId="469DE02D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8B695D6" w14:textId="734355B1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II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F9F200F" w14:textId="7BD4468C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Early Stages of Enrollment</w:t>
            </w:r>
          </w:p>
        </w:tc>
      </w:tr>
      <w:tr w:rsidR="00473EBF" w14:paraId="4FB84348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31ADFA70" w14:textId="71CF165F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III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6D573A" w14:textId="611C110A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Late Stages of Enrollment</w:t>
            </w:r>
          </w:p>
        </w:tc>
      </w:tr>
      <w:tr w:rsidR="00473EBF" w14:paraId="68903A86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AF9FAB1" w14:textId="146B8ECF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IV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3135AD4" w14:textId="5E0D1D91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After Students Leave School</w:t>
            </w:r>
          </w:p>
        </w:tc>
      </w:tr>
      <w:tr w:rsidR="00473EBF" w14:paraId="31D58B75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02219C6" w14:textId="4EDBD18C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V 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37437468" w14:textId="71C71E80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Enhanced Entrance and Exit Counseling</w:t>
            </w:r>
          </w:p>
        </w:tc>
      </w:tr>
      <w:tr w:rsidR="00473EBF" w14:paraId="180B9A9D" w14:textId="77777777" w:rsidTr="00F17379"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853C8EA" w14:textId="46F85196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 xml:space="preserve">Section VI 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714FA8CC" w14:textId="5B1E6901" w:rsidR="00473EBF" w:rsidRDefault="00F17379" w:rsidP="00473EBF">
            <w:pPr>
              <w:pStyle w:val="p2"/>
              <w:rPr>
                <w:b/>
                <w:bCs/>
                <w:sz w:val="22"/>
                <w:szCs w:val="22"/>
              </w:rPr>
            </w:pPr>
            <w:r w:rsidRPr="00473EBF">
              <w:rPr>
                <w:b/>
                <w:bCs/>
                <w:sz w:val="22"/>
                <w:szCs w:val="22"/>
              </w:rPr>
              <w:t>Tools and Activities for Schools</w:t>
            </w:r>
          </w:p>
        </w:tc>
      </w:tr>
    </w:tbl>
    <w:p w14:paraId="68C37D42" w14:textId="77777777" w:rsidR="00473EBF" w:rsidRDefault="00473EBF" w:rsidP="00473EBF">
      <w:pPr>
        <w:pStyle w:val="p2"/>
        <w:rPr>
          <w:b/>
          <w:bCs/>
          <w:sz w:val="22"/>
          <w:szCs w:val="22"/>
        </w:rPr>
      </w:pPr>
    </w:p>
    <w:p w14:paraId="4D6BADE4" w14:textId="5DFDB2DC" w:rsidR="00473EBF" w:rsidRPr="00473EBF" w:rsidRDefault="00473EBF" w:rsidP="00473EBF">
      <w:pPr>
        <w:pStyle w:val="Heading4"/>
      </w:pPr>
      <w:r w:rsidRPr="00473EBF">
        <w:t>Section I Overview</w:t>
      </w:r>
    </w:p>
    <w:p w14:paraId="36FAF10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This Sample Default Prevention and Management Plan provides all schools with activities,</w:t>
      </w:r>
    </w:p>
    <w:p w14:paraId="53FC596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techniques, and tools to promote student and school success and reduce student loan defaults</w:t>
      </w:r>
    </w:p>
    <w:p w14:paraId="12FF8EE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 the Federal Family Education Loan (FFEL) and William D. Ford Federal Direct Loan (Direct</w:t>
      </w:r>
    </w:p>
    <w:p w14:paraId="711AFC4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Loan) programs. Schools participating in the FFEL or Direct Loan programs for the first time, or</w:t>
      </w:r>
    </w:p>
    <w:p w14:paraId="334C218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 participating in the FFEL or Direct Loan programs that have undergone a change of</w:t>
      </w:r>
    </w:p>
    <w:p w14:paraId="0AAE2E4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ownership that resulted in a change in control are required to use a default prevention and</w:t>
      </w:r>
    </w:p>
    <w:p w14:paraId="573125A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management plan to participate in the Title IV Programs (34 CFR 668.14(b)(15). For such</w:t>
      </w:r>
    </w:p>
    <w:p w14:paraId="137ED17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schools, implementation of the nine Default Prevention and Management Activities listed</w:t>
      </w:r>
    </w:p>
    <w:p w14:paraId="03375D0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below will satisfy that requirement. Schools required to adopt a default prevention and</w:t>
      </w:r>
    </w:p>
    <w:p w14:paraId="7DF8033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management </w:t>
      </w:r>
      <w:proofErr w:type="gramStart"/>
      <w:r w:rsidRPr="00473EBF">
        <w:rPr>
          <w:sz w:val="22"/>
          <w:szCs w:val="22"/>
        </w:rPr>
        <w:t>plan</w:t>
      </w:r>
      <w:proofErr w:type="gramEnd"/>
      <w:r w:rsidRPr="00473EBF">
        <w:rPr>
          <w:sz w:val="22"/>
          <w:szCs w:val="22"/>
        </w:rPr>
        <w:t xml:space="preserve"> have the option to submit their own plans to the Department in lieu of</w:t>
      </w:r>
    </w:p>
    <w:p w14:paraId="2E9F7D7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adopting this Default Prevention and Management Plan. However, all schools are required to</w:t>
      </w:r>
    </w:p>
    <w:p w14:paraId="379D290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follow regulatory guidance </w:t>
      </w:r>
      <w:proofErr w:type="gramStart"/>
      <w:r w:rsidRPr="00473EBF">
        <w:rPr>
          <w:sz w:val="22"/>
          <w:szCs w:val="22"/>
        </w:rPr>
        <w:t>including:</w:t>
      </w:r>
      <w:proofErr w:type="gramEnd"/>
      <w:r w:rsidRPr="00473EBF">
        <w:rPr>
          <w:sz w:val="22"/>
          <w:szCs w:val="22"/>
        </w:rPr>
        <w:t xml:space="preserve"> entrance counseling and exit counseling for borrowers,</w:t>
      </w:r>
    </w:p>
    <w:p w14:paraId="233ADEF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reporting timely and accurate enrollment information to the U.S. Department of Education (the</w:t>
      </w:r>
    </w:p>
    <w:p w14:paraId="2489384C" w14:textId="39DA91D1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Department</w:t>
      </w:r>
      <w:proofErr w:type="gramStart"/>
      <w:r w:rsidRPr="00473EBF">
        <w:rPr>
          <w:sz w:val="22"/>
          <w:szCs w:val="22"/>
        </w:rPr>
        <w:t>),</w:t>
      </w:r>
      <w:r w:rsidR="003358C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and</w:t>
      </w:r>
      <w:proofErr w:type="gramEnd"/>
      <w:r w:rsidRPr="00473EBF">
        <w:rPr>
          <w:sz w:val="22"/>
          <w:szCs w:val="22"/>
        </w:rPr>
        <w:t xml:space="preserve"> sharing satisfactory academic progress information across campus. In</w:t>
      </w:r>
    </w:p>
    <w:p w14:paraId="3F4191C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addition to these regulatory requirements, schools that are not required to use a default</w:t>
      </w:r>
    </w:p>
    <w:p w14:paraId="518254C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prevention and management plan should strongly consider implementing some or </w:t>
      </w:r>
      <w:proofErr w:type="gramStart"/>
      <w:r w:rsidRPr="00473EBF">
        <w:rPr>
          <w:sz w:val="22"/>
          <w:szCs w:val="22"/>
        </w:rPr>
        <w:t>all of</w:t>
      </w:r>
      <w:proofErr w:type="gramEnd"/>
      <w:r w:rsidRPr="00473EBF">
        <w:rPr>
          <w:sz w:val="22"/>
          <w:szCs w:val="22"/>
        </w:rPr>
        <w:t xml:space="preserve"> the</w:t>
      </w:r>
    </w:p>
    <w:p w14:paraId="0FFB868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non-regulatory measures in this plan. Additionally, many of the activities that you apply to your</w:t>
      </w:r>
    </w:p>
    <w:p w14:paraId="3F64A4E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school’s FFEL and DL borrowers may be successfully applied to your school’s Perkins loan</w:t>
      </w:r>
    </w:p>
    <w:p w14:paraId="13175D8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borrowers.</w:t>
      </w:r>
    </w:p>
    <w:p w14:paraId="15359766" w14:textId="77777777" w:rsidR="00F17379" w:rsidRDefault="00F17379" w:rsidP="00473EBF">
      <w:pPr>
        <w:pStyle w:val="p2"/>
        <w:rPr>
          <w:sz w:val="22"/>
          <w:szCs w:val="22"/>
        </w:rPr>
      </w:pPr>
    </w:p>
    <w:p w14:paraId="026AF60F" w14:textId="52D374D3" w:rsidR="00473EBF" w:rsidRDefault="00473EBF" w:rsidP="00F17379">
      <w:pPr>
        <w:pStyle w:val="Heading5"/>
      </w:pPr>
      <w:r w:rsidRPr="00F17379">
        <w:t>Default Prevention and Management Activities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941"/>
        <w:gridCol w:w="992"/>
      </w:tblGrid>
      <w:tr w:rsidR="009A2DED" w14:paraId="3260B3ED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20C925C" w14:textId="0F811A65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Entrance Counseling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7577CEF" w14:textId="020AE1E5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2</w:t>
            </w:r>
          </w:p>
        </w:tc>
      </w:tr>
      <w:tr w:rsidR="009A2DED" w14:paraId="27346608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42E3672F" w14:textId="6F03569D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Financial Literacy for Borrowers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8FA58FB" w14:textId="77860A43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3</w:t>
            </w:r>
          </w:p>
        </w:tc>
      </w:tr>
      <w:tr w:rsidR="009A2DED" w14:paraId="4F1C7E62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203B1A5F" w14:textId="2C5CEF54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Across Campus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66F83B5" w14:textId="21D2BFB7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3</w:t>
            </w:r>
          </w:p>
        </w:tc>
      </w:tr>
      <w:tr w:rsidR="009A2DED" w14:paraId="5E8AAD4C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13296852" w14:textId="403B9F8D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Exit Counseling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693C8CA" w14:textId="70799DAA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4</w:t>
            </w:r>
          </w:p>
        </w:tc>
      </w:tr>
      <w:tr w:rsidR="009A2DED" w14:paraId="055E418F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9271421" w14:textId="3DC8B03C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Timely and Accurate Enrollment Reporting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3B3BEF75" w14:textId="1A8403EC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4</w:t>
            </w:r>
          </w:p>
        </w:tc>
      </w:tr>
      <w:tr w:rsidR="009A2DED" w14:paraId="3BD0175F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C05CD90" w14:textId="02FE5BBF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NSLDS Date Entered Repayment (DER) Report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5ABD325" w14:textId="71624688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5</w:t>
            </w:r>
          </w:p>
        </w:tc>
      </w:tr>
      <w:tr w:rsidR="009A2DED" w14:paraId="3D5FC0DB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A435B64" w14:textId="1279BE2A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proofErr w:type="gramStart"/>
            <w:r w:rsidRPr="00473EBF">
              <w:rPr>
                <w:sz w:val="22"/>
                <w:szCs w:val="22"/>
              </w:rPr>
              <w:t>Late Stage</w:t>
            </w:r>
            <w:proofErr w:type="gramEnd"/>
            <w:r w:rsidRPr="00473EBF">
              <w:rPr>
                <w:sz w:val="22"/>
                <w:szCs w:val="22"/>
              </w:rPr>
              <w:t xml:space="preserve"> Delinquency Assistance (LSDA)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515B8CF" w14:textId="7D6CD49C" w:rsidR="009A2DED" w:rsidRPr="00473EBF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5</w:t>
            </w:r>
          </w:p>
        </w:tc>
      </w:tr>
      <w:tr w:rsidR="009A2DED" w14:paraId="7883FE01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5556A95B" w14:textId="002D3483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Loan Record Detail Report (LRDR) Data Review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78ABF932" w14:textId="2D520A9D" w:rsidR="009A2DED" w:rsidRPr="00473EBF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6</w:t>
            </w:r>
          </w:p>
        </w:tc>
      </w:tr>
      <w:tr w:rsidR="009A2DED" w14:paraId="3F10D913" w14:textId="77777777" w:rsidTr="009A2DED">
        <w:tc>
          <w:tcPr>
            <w:tcW w:w="6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0F59E95B" w14:textId="77777777" w:rsidR="009A2DED" w:rsidRPr="00473EBF" w:rsidRDefault="009A2DED" w:rsidP="009A2DED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 xml:space="preserve">Analyze Defaulted Loan Data to Identify Defaulter Characteristics </w:t>
            </w:r>
          </w:p>
          <w:p w14:paraId="07FA3312" w14:textId="77777777" w:rsidR="009A2DED" w:rsidRPr="009A2DED" w:rsidRDefault="009A2DED" w:rsidP="001F7426">
            <w:pPr>
              <w:pStyle w:val="p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2485E0E1" w14:textId="11F16E1E" w:rsidR="009A2DED" w:rsidRPr="00473EBF" w:rsidRDefault="009A2DED" w:rsidP="001F7426">
            <w:pPr>
              <w:pStyle w:val="p2"/>
              <w:rPr>
                <w:sz w:val="22"/>
                <w:szCs w:val="22"/>
              </w:rPr>
            </w:pPr>
            <w:r w:rsidRPr="00473EBF">
              <w:rPr>
                <w:sz w:val="22"/>
                <w:szCs w:val="22"/>
              </w:rPr>
              <w:t>Page 6</w:t>
            </w:r>
          </w:p>
        </w:tc>
      </w:tr>
    </w:tbl>
    <w:p w14:paraId="011AF3EE" w14:textId="77777777" w:rsidR="009A2DED" w:rsidRPr="009A2DED" w:rsidRDefault="009A2DED" w:rsidP="009A2DED"/>
    <w:p w14:paraId="2A8980FB" w14:textId="77777777" w:rsidR="00F17379" w:rsidRDefault="00F17379" w:rsidP="00473EBF">
      <w:pPr>
        <w:pStyle w:val="p2"/>
        <w:rPr>
          <w:sz w:val="22"/>
          <w:szCs w:val="22"/>
        </w:rPr>
      </w:pPr>
    </w:p>
    <w:p w14:paraId="47E578EC" w14:textId="2FB0BE83" w:rsidR="00473EBF" w:rsidRPr="00F17379" w:rsidRDefault="00473EBF" w:rsidP="00F17379">
      <w:pPr>
        <w:pStyle w:val="Heading5"/>
      </w:pPr>
      <w:r w:rsidRPr="00F17379">
        <w:lastRenderedPageBreak/>
        <w:t>Benefits of Adopting a Default Prevention and Management Plan</w:t>
      </w:r>
    </w:p>
    <w:p w14:paraId="495CD35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activities in this Default Prevention and Management Plan promote student and school</w:t>
      </w:r>
    </w:p>
    <w:p w14:paraId="0923C59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success by increasing retention and reducing delinquency and default. Schools and students</w:t>
      </w:r>
    </w:p>
    <w:p w14:paraId="3C60BCD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receive benefits when schools implement the activities, techniques, and tools outlined in this</w:t>
      </w:r>
    </w:p>
    <w:p w14:paraId="6638CB9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plan. Schools benefit by avoiding any limitations on participation in the loan programs due to</w:t>
      </w:r>
    </w:p>
    <w:p w14:paraId="2BE7FB2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excessive cohort default rates (CDRs). Students benefit by having continued access to Title IV</w:t>
      </w:r>
    </w:p>
    <w:p w14:paraId="7D9B256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Student Financial Assistance Programs, learning good debt management practices, and</w:t>
      </w:r>
    </w:p>
    <w:p w14:paraId="43F7455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establishing a healthy credit history. Schools that are actively committed to promoting student</w:t>
      </w:r>
    </w:p>
    <w:p w14:paraId="002B57B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success help their students learn, graduate, obtain employment, and demonstrate financial</w:t>
      </w:r>
    </w:p>
    <w:p w14:paraId="19D019A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responsibility through repayment of the funds borrowed to finance their education.</w:t>
      </w:r>
    </w:p>
    <w:p w14:paraId="61C4E6E5" w14:textId="77777777" w:rsidR="00F17379" w:rsidRDefault="00F17379" w:rsidP="00473EBF">
      <w:pPr>
        <w:pStyle w:val="p2"/>
        <w:rPr>
          <w:sz w:val="22"/>
          <w:szCs w:val="22"/>
        </w:rPr>
      </w:pPr>
    </w:p>
    <w:p w14:paraId="5F74511D" w14:textId="7825EB68" w:rsidR="00473EBF" w:rsidRPr="00F17379" w:rsidRDefault="00473EBF" w:rsidP="00F17379">
      <w:pPr>
        <w:pStyle w:val="Heading5"/>
      </w:pPr>
      <w:r w:rsidRPr="00F17379">
        <w:t>Consequences of Default for Borrowers</w:t>
      </w:r>
    </w:p>
    <w:p w14:paraId="0C58B80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who default on student loans face serious consequences. Stafford Loans are</w:t>
      </w:r>
    </w:p>
    <w:p w14:paraId="4297F50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considered in default after 270 days without payment. At the time of default, outstanding</w:t>
      </w:r>
    </w:p>
    <w:p w14:paraId="5AA0C2C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interest is capitalized, and collection fees may be added, resulting in a loan balance that is</w:t>
      </w:r>
    </w:p>
    <w:p w14:paraId="645CF19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higher than the amount borrowed. Defaulted loans are reported to credit bureaus, causing</w:t>
      </w:r>
    </w:p>
    <w:p w14:paraId="5CADB2A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to sustain long-term damage to their credit rating. Defaulters may also face</w:t>
      </w:r>
    </w:p>
    <w:p w14:paraId="0EACA23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difficulty in securing mortgages or car loans, may have their wages garnished, and their federal</w:t>
      </w:r>
    </w:p>
    <w:p w14:paraId="0FD7EC2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income tax refunds and other federal payments seized. Until the default is resolved, collection</w:t>
      </w:r>
    </w:p>
    <w:p w14:paraId="698A60C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efforts continue and the defaulter will be ineligible for additional federal student aid. The</w:t>
      </w:r>
    </w:p>
    <w:p w14:paraId="7CB0051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Department, guarantors, and servicers undertake many activities to prevent borrowers from</w:t>
      </w:r>
    </w:p>
    <w:p w14:paraId="07BF354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defaulting. With a minimal amount of time, effort, and expense, schools can play a critical role</w:t>
      </w:r>
    </w:p>
    <w:p w14:paraId="4D6C491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 helping borrowers avoid the damaging consequences of default.</w:t>
      </w:r>
    </w:p>
    <w:p w14:paraId="3AA80F29" w14:textId="77777777" w:rsidR="00F17379" w:rsidRDefault="00F17379" w:rsidP="00473EBF">
      <w:pPr>
        <w:pStyle w:val="p2"/>
        <w:rPr>
          <w:sz w:val="22"/>
          <w:szCs w:val="22"/>
        </w:rPr>
      </w:pPr>
    </w:p>
    <w:p w14:paraId="4E3D2F87" w14:textId="59DAD19B" w:rsidR="00473EBF" w:rsidRPr="00F17379" w:rsidRDefault="00473EBF" w:rsidP="00F17379">
      <w:pPr>
        <w:pStyle w:val="Heading5"/>
      </w:pPr>
      <w:r w:rsidRPr="00F17379">
        <w:t>Consequences of Default for Schools</w:t>
      </w:r>
    </w:p>
    <w:p w14:paraId="1C553A0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Schools may face serious consequences due to high </w:t>
      </w:r>
      <w:proofErr w:type="spellStart"/>
      <w:r w:rsidRPr="00473EBF">
        <w:rPr>
          <w:sz w:val="22"/>
          <w:szCs w:val="22"/>
        </w:rPr>
        <w:t>CDRs.</w:t>
      </w:r>
      <w:proofErr w:type="spellEnd"/>
      <w:r w:rsidRPr="00473EBF">
        <w:rPr>
          <w:sz w:val="22"/>
          <w:szCs w:val="22"/>
        </w:rPr>
        <w:t xml:space="preserve"> Consequences include the loss of</w:t>
      </w:r>
    </w:p>
    <w:p w14:paraId="0C9F7B7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participation in the FFEL, Direct Loan, and/or Pell Grant programs. Schools may also be</w:t>
      </w:r>
    </w:p>
    <w:p w14:paraId="5D50D0D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provisionally certified. Effective, easy-to-implement tools that reduce defaults, promote</w:t>
      </w:r>
    </w:p>
    <w:p w14:paraId="00696416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student and school success, help preserve the integrity of the loan programs, and reduce costs</w:t>
      </w:r>
    </w:p>
    <w:p w14:paraId="6631638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to taxpayers are available to schools.</w:t>
      </w:r>
    </w:p>
    <w:p w14:paraId="135FDB44" w14:textId="77777777" w:rsidR="00F17379" w:rsidRDefault="00F17379" w:rsidP="00473EBF">
      <w:pPr>
        <w:pStyle w:val="p2"/>
        <w:rPr>
          <w:sz w:val="22"/>
          <w:szCs w:val="22"/>
        </w:rPr>
      </w:pPr>
    </w:p>
    <w:p w14:paraId="0FC31898" w14:textId="5C5A684B" w:rsidR="00473EBF" w:rsidRPr="00F17379" w:rsidRDefault="00473EBF" w:rsidP="00F17379">
      <w:pPr>
        <w:pStyle w:val="Heading4"/>
      </w:pPr>
      <w:r w:rsidRPr="00F17379">
        <w:t>Section II Early Stages of Enrollment</w:t>
      </w:r>
    </w:p>
    <w:p w14:paraId="4A93411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Department recommends that every school implement a default prevention and</w:t>
      </w:r>
    </w:p>
    <w:p w14:paraId="0E348F8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management plan. Schools and borrowers benefit when schools incorporate default</w:t>
      </w:r>
    </w:p>
    <w:p w14:paraId="11722FA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prevention and management activities into their operations. Schools can undertake these</w:t>
      </w:r>
    </w:p>
    <w:p w14:paraId="649A700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required and recommended activities that make up a default prevention and management plan</w:t>
      </w:r>
    </w:p>
    <w:p w14:paraId="386BE443" w14:textId="77777777" w:rsidR="00F17379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as early as during student enrollment </w:t>
      </w:r>
      <w:proofErr w:type="gramStart"/>
      <w:r w:rsidRPr="00473EBF">
        <w:rPr>
          <w:sz w:val="22"/>
          <w:szCs w:val="22"/>
        </w:rPr>
        <w:t>in order to</w:t>
      </w:r>
      <w:proofErr w:type="gramEnd"/>
      <w:r w:rsidRPr="00473EBF">
        <w:rPr>
          <w:sz w:val="22"/>
          <w:szCs w:val="22"/>
        </w:rPr>
        <w:t xml:space="preserve"> reduce the incidence of default.</w:t>
      </w:r>
    </w:p>
    <w:p w14:paraId="69B0BE16" w14:textId="77777777" w:rsidR="00F17379" w:rsidRDefault="00F17379" w:rsidP="00473EBF">
      <w:pPr>
        <w:pStyle w:val="p2"/>
        <w:rPr>
          <w:sz w:val="22"/>
          <w:szCs w:val="22"/>
        </w:rPr>
      </w:pPr>
    </w:p>
    <w:p w14:paraId="13C7D6DE" w14:textId="1E20C19F" w:rsidR="00473EBF" w:rsidRPr="00473EBF" w:rsidRDefault="00473EBF" w:rsidP="00F17379">
      <w:pPr>
        <w:pStyle w:val="Heading5"/>
      </w:pPr>
      <w:r w:rsidRPr="00473EBF">
        <w:t>Entrance Counseling</w:t>
      </w:r>
    </w:p>
    <w:p w14:paraId="748AC9D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Regulations require that first time borrowers of FFEL and Direct Loan program loans receive</w:t>
      </w:r>
    </w:p>
    <w:p w14:paraId="0B6DB94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entrance counseling. During entrance counseling, schools must explain how the master</w:t>
      </w:r>
    </w:p>
    <w:p w14:paraId="0B69F55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promissory note works, emphasize the importance of repaying the loan, describe the</w:t>
      </w:r>
    </w:p>
    <w:p w14:paraId="7AF50F6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consequences of default, and show borrowers sample monthly repayment amounts based on</w:t>
      </w:r>
    </w:p>
    <w:p w14:paraId="265D8AC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their program of study at your school. Schools may enhance entrance counseling to include</w:t>
      </w:r>
    </w:p>
    <w:p w14:paraId="6DA11D4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lastRenderedPageBreak/>
        <w:t>financial literacy and ensure that borrowers thoroughly understand all information. In addition,</w:t>
      </w:r>
    </w:p>
    <w:p w14:paraId="58EDF13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 should collect as much contact information about borrowers as possible during</w:t>
      </w:r>
    </w:p>
    <w:p w14:paraId="3B4C519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entrance counseling to facilitate future contact if needed. These activities will ensure more</w:t>
      </w:r>
    </w:p>
    <w:p w14:paraId="79E373B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knowledgeable, responsible borrowers, and result in fewer defaulters as well. (Section V</w:t>
      </w:r>
    </w:p>
    <w:p w14:paraId="25DBD7A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Enhanced Entrance and Exit Counseling)</w:t>
      </w:r>
    </w:p>
    <w:p w14:paraId="421C370A" w14:textId="77777777" w:rsidR="00F17379" w:rsidRDefault="00F17379" w:rsidP="00473EBF">
      <w:pPr>
        <w:pStyle w:val="p2"/>
        <w:rPr>
          <w:sz w:val="22"/>
          <w:szCs w:val="22"/>
        </w:rPr>
      </w:pPr>
    </w:p>
    <w:p w14:paraId="7DEBF75A" w14:textId="13BC83E2" w:rsidR="00473EBF" w:rsidRPr="00473EBF" w:rsidRDefault="00473EBF" w:rsidP="00F17379">
      <w:pPr>
        <w:pStyle w:val="Heading5"/>
      </w:pPr>
      <w:r w:rsidRPr="00473EBF">
        <w:t>Financial Literacy for Borrowers</w:t>
      </w:r>
    </w:p>
    <w:p w14:paraId="607D3CE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Department recommends that schools provide borrowers with information concerning the</w:t>
      </w:r>
    </w:p>
    <w:p w14:paraId="3F96DB9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income potential of occupations relevant to their course of study, counseling at various stages</w:t>
      </w:r>
    </w:p>
    <w:p w14:paraId="1971F52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of enrollment, interactive tools to manage debt, repayment options, and school contact</w:t>
      </w:r>
    </w:p>
    <w:p w14:paraId="43D600A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information. Schools can offer this information through a variety of media such as counseling,</w:t>
      </w:r>
    </w:p>
    <w:p w14:paraId="03E4D93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classes, publications, e-tutorials, electronic newsletters to email accounts, adding the</w:t>
      </w:r>
    </w:p>
    <w:p w14:paraId="7D6D1FA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information to award </w:t>
      </w:r>
      <w:proofErr w:type="gramStart"/>
      <w:r w:rsidRPr="00473EBF">
        <w:rPr>
          <w:sz w:val="22"/>
          <w:szCs w:val="22"/>
        </w:rPr>
        <w:t>letters, or</w:t>
      </w:r>
      <w:proofErr w:type="gramEnd"/>
      <w:r w:rsidRPr="00473EBF">
        <w:rPr>
          <w:sz w:val="22"/>
          <w:szCs w:val="22"/>
        </w:rPr>
        <w:t xml:space="preserve"> using a combination of methods. To help students manage</w:t>
      </w:r>
    </w:p>
    <w:p w14:paraId="5E64A80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their debt, some schools are limiting access of credit card companies to their campuses.</w:t>
      </w:r>
    </w:p>
    <w:p w14:paraId="568FFF1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 should also provide borrowers with entrance counseling material and the following</w:t>
      </w:r>
    </w:p>
    <w:p w14:paraId="6D3B2086" w14:textId="77777777" w:rsid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resources, at minimum, at enrollment and following graduation or withdrawal:</w:t>
      </w:r>
    </w:p>
    <w:p w14:paraId="19B69FE3" w14:textId="77777777" w:rsidR="00396B98" w:rsidRPr="00473EBF" w:rsidRDefault="00396B98" w:rsidP="00473EBF">
      <w:pPr>
        <w:pStyle w:val="p2"/>
        <w:rPr>
          <w:sz w:val="22"/>
          <w:szCs w:val="22"/>
        </w:rPr>
      </w:pPr>
    </w:p>
    <w:p w14:paraId="105BB3D6" w14:textId="266867DA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>Estimate of required monthly payments on the borrower’s loan balance,</w:t>
      </w:r>
    </w:p>
    <w:p w14:paraId="290ED5A9" w14:textId="7756E561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>Calculators to help estimate and manage debt,</w:t>
      </w:r>
    </w:p>
    <w:p w14:paraId="392781B9" w14:textId="5BAAC3CE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 xml:space="preserve">Loan </w:t>
      </w:r>
      <w:proofErr w:type="gramStart"/>
      <w:r w:rsidRPr="00473EBF">
        <w:rPr>
          <w:sz w:val="22"/>
          <w:szCs w:val="22"/>
        </w:rPr>
        <w:t>servicer</w:t>
      </w:r>
      <w:proofErr w:type="gramEnd"/>
      <w:r w:rsidRPr="00473EBF">
        <w:rPr>
          <w:sz w:val="22"/>
          <w:szCs w:val="22"/>
        </w:rPr>
        <w:t xml:space="preserve"> contact information,</w:t>
      </w:r>
    </w:p>
    <w:p w14:paraId="3BA85B11" w14:textId="4126A28F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>Contact information for delinquency and default prevention assistance on campus,</w:t>
      </w:r>
    </w:p>
    <w:p w14:paraId="44BA723E" w14:textId="023710EF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>Introduction to NSLDS for Students,</w:t>
      </w:r>
    </w:p>
    <w:p w14:paraId="3FBD90E9" w14:textId="15915128" w:rsidR="00473EBF" w:rsidRPr="00473EBF" w:rsidRDefault="00473EBF" w:rsidP="00F17379">
      <w:pPr>
        <w:pStyle w:val="p2"/>
        <w:numPr>
          <w:ilvl w:val="0"/>
          <w:numId w:val="6"/>
        </w:numPr>
        <w:rPr>
          <w:sz w:val="22"/>
          <w:szCs w:val="22"/>
        </w:rPr>
      </w:pPr>
      <w:r w:rsidRPr="00473EBF">
        <w:rPr>
          <w:sz w:val="22"/>
          <w:szCs w:val="22"/>
        </w:rPr>
        <w:t>Repaying Your Student Loans publication.</w:t>
      </w:r>
    </w:p>
    <w:p w14:paraId="2FD6D60B" w14:textId="77777777" w:rsidR="00F17379" w:rsidRDefault="00F17379" w:rsidP="00473EBF">
      <w:pPr>
        <w:pStyle w:val="p2"/>
        <w:rPr>
          <w:sz w:val="22"/>
          <w:szCs w:val="22"/>
        </w:rPr>
      </w:pPr>
    </w:p>
    <w:p w14:paraId="666D130F" w14:textId="4A0152EB" w:rsidR="00473EBF" w:rsidRPr="00473EBF" w:rsidRDefault="00473EBF" w:rsidP="00F17379">
      <w:pPr>
        <w:pStyle w:val="Heading5"/>
      </w:pPr>
      <w:r w:rsidRPr="00473EBF">
        <w:t>Early Identification and Counseling for Students At-Risk</w:t>
      </w:r>
    </w:p>
    <w:p w14:paraId="01810D2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Students at-risk generally refers to borrowers who withdraw prematurely from </w:t>
      </w:r>
      <w:proofErr w:type="gramStart"/>
      <w:r w:rsidRPr="00473EBF">
        <w:rPr>
          <w:sz w:val="22"/>
          <w:szCs w:val="22"/>
        </w:rPr>
        <w:t>their</w:t>
      </w:r>
      <w:proofErr w:type="gramEnd"/>
    </w:p>
    <w:p w14:paraId="4EE3524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educational programs, borrowers who do not meet standards of satisfactory academic progress</w:t>
      </w:r>
    </w:p>
    <w:p w14:paraId="01D98E2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or both. Counseling at-risk borrowers should focus on the causes of withdrawal or</w:t>
      </w:r>
    </w:p>
    <w:p w14:paraId="122FFB6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unsatisfactory academic progress and solutions to resolve these matters. </w:t>
      </w:r>
      <w:proofErr w:type="gramStart"/>
      <w:r w:rsidRPr="00473EBF">
        <w:rPr>
          <w:sz w:val="22"/>
          <w:szCs w:val="22"/>
        </w:rPr>
        <w:t>The end result</w:t>
      </w:r>
      <w:proofErr w:type="gramEnd"/>
      <w:r w:rsidRPr="00473EBF">
        <w:rPr>
          <w:sz w:val="22"/>
          <w:szCs w:val="22"/>
        </w:rPr>
        <w:t xml:space="preserve"> of</w:t>
      </w:r>
    </w:p>
    <w:p w14:paraId="55CBD0C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working with at-risk students will be more borrowers completing their educational programs,</w:t>
      </w:r>
    </w:p>
    <w:p w14:paraId="0715E5B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equating to a higher retention rate for the school and lower numbers of defaulted borrowers.</w:t>
      </w:r>
    </w:p>
    <w:p w14:paraId="2E21C6DB" w14:textId="77777777" w:rsidR="00F17379" w:rsidRDefault="00F17379" w:rsidP="00473EBF">
      <w:pPr>
        <w:pStyle w:val="p2"/>
        <w:rPr>
          <w:sz w:val="22"/>
          <w:szCs w:val="22"/>
        </w:rPr>
      </w:pPr>
    </w:p>
    <w:p w14:paraId="6E19B15B" w14:textId="4E585781" w:rsidR="00473EBF" w:rsidRPr="00473EBF" w:rsidRDefault="00473EBF" w:rsidP="00F17379">
      <w:pPr>
        <w:pStyle w:val="Heading5"/>
      </w:pPr>
      <w:r w:rsidRPr="00473EBF">
        <w:t>Communication Across Campus</w:t>
      </w:r>
    </w:p>
    <w:p w14:paraId="6AB5EC2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Communication of information relevant to the prevention and management of defaults must</w:t>
      </w:r>
    </w:p>
    <w:p w14:paraId="6030F31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be a school-wide effort and should not be the responsibility of only a single office. While</w:t>
      </w:r>
    </w:p>
    <w:p w14:paraId="50EBE87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communicating certain information across campus is mandatory, communicating additional</w:t>
      </w:r>
    </w:p>
    <w:p w14:paraId="054309C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information is highly recommended. To promote success, school officials should examine </w:t>
      </w:r>
      <w:proofErr w:type="gramStart"/>
      <w:r w:rsidRPr="00473EBF">
        <w:rPr>
          <w:sz w:val="22"/>
          <w:szCs w:val="22"/>
        </w:rPr>
        <w:t>their</w:t>
      </w:r>
      <w:proofErr w:type="gramEnd"/>
    </w:p>
    <w:p w14:paraId="77DA251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communication procedures for effectiveness and inclusiveness. Information regarding</w:t>
      </w:r>
    </w:p>
    <w:p w14:paraId="06CE372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borrowers’ academic progress and enrollment status should be components of the information</w:t>
      </w:r>
    </w:p>
    <w:p w14:paraId="3027A65F" w14:textId="4DE78071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received by all relevant offices across campus including the offices that disburse funds and</w:t>
      </w:r>
      <w:r w:rsidR="00F17379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authorize payments. Accurate and timely communication among school entities and the</w:t>
      </w:r>
    </w:p>
    <w:p w14:paraId="7C26490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Department not only ensures the right aid is getting to the right student, but such</w:t>
      </w:r>
    </w:p>
    <w:p w14:paraId="63CB719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communication will help schools comply with regulations regarding the school’s standards of</w:t>
      </w:r>
    </w:p>
    <w:p w14:paraId="0ED0CF86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administrative capabilities, accurate and timely reporting of borrowers’ enrollment status, and</w:t>
      </w:r>
    </w:p>
    <w:p w14:paraId="7BB6073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satisfactory academic progress.</w:t>
      </w:r>
    </w:p>
    <w:p w14:paraId="5332FC7A" w14:textId="77777777" w:rsidR="00396B98" w:rsidRDefault="00396B98" w:rsidP="00473EBF">
      <w:pPr>
        <w:pStyle w:val="p2"/>
        <w:rPr>
          <w:sz w:val="22"/>
          <w:szCs w:val="22"/>
        </w:rPr>
      </w:pPr>
    </w:p>
    <w:p w14:paraId="113FCA63" w14:textId="724B70CA" w:rsidR="00473EBF" w:rsidRPr="00473EBF" w:rsidRDefault="00473EBF" w:rsidP="00396B98">
      <w:pPr>
        <w:pStyle w:val="Heading5"/>
      </w:pPr>
      <w:r w:rsidRPr="00473EBF">
        <w:t>Default Prevention and Retention Staff</w:t>
      </w:r>
    </w:p>
    <w:p w14:paraId="5743DFC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Having dedicated default prevention and management staff has proven invaluable for many</w:t>
      </w:r>
    </w:p>
    <w:p w14:paraId="61EBB3E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schools. The Department recommends dedicated staff because they are in an excellent</w:t>
      </w:r>
    </w:p>
    <w:p w14:paraId="2A614EA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position to establish working relationships with borrowers from early in the students’</w:t>
      </w:r>
    </w:p>
    <w:p w14:paraId="72133D2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experience through repayment. Many schools are also dedicating staff to student retention</w:t>
      </w:r>
    </w:p>
    <w:p w14:paraId="671EBF6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activities, a key to school and student success as well as default reduction. Where resources</w:t>
      </w:r>
    </w:p>
    <w:p w14:paraId="21A1234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are limited, the Department recommends combining these two functions, as they are similar in</w:t>
      </w:r>
    </w:p>
    <w:p w14:paraId="3DD39E0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nature. An emphasis on both will particularly benefit at-risk borrowers.</w:t>
      </w:r>
    </w:p>
    <w:p w14:paraId="0B3FB896" w14:textId="77777777" w:rsidR="00396B98" w:rsidRDefault="00396B98" w:rsidP="00473EBF">
      <w:pPr>
        <w:pStyle w:val="p2"/>
        <w:rPr>
          <w:sz w:val="22"/>
          <w:szCs w:val="22"/>
        </w:rPr>
      </w:pPr>
    </w:p>
    <w:p w14:paraId="7A63668F" w14:textId="47866E3B" w:rsidR="00473EBF" w:rsidRPr="00473EBF" w:rsidRDefault="00473EBF" w:rsidP="00396B98">
      <w:pPr>
        <w:pStyle w:val="Heading4"/>
      </w:pPr>
      <w:r w:rsidRPr="00473EBF">
        <w:t>Section III Late Stages of Enrollment</w:t>
      </w:r>
    </w:p>
    <w:p w14:paraId="5262763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During the later stages of enrollment and after students have left school, there are many</w:t>
      </w:r>
    </w:p>
    <w:p w14:paraId="265EA00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default prevention and management activities that will help reduce defaults and help ensure</w:t>
      </w:r>
    </w:p>
    <w:p w14:paraId="172F252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 and school success.</w:t>
      </w:r>
    </w:p>
    <w:p w14:paraId="55B831F9" w14:textId="77777777" w:rsidR="00396B98" w:rsidRDefault="00396B98" w:rsidP="00473EBF">
      <w:pPr>
        <w:pStyle w:val="p2"/>
        <w:rPr>
          <w:sz w:val="22"/>
          <w:szCs w:val="22"/>
        </w:rPr>
      </w:pPr>
    </w:p>
    <w:p w14:paraId="06B06059" w14:textId="25E4CDCF" w:rsidR="00473EBF" w:rsidRPr="00473EBF" w:rsidRDefault="00473EBF" w:rsidP="00396B98">
      <w:pPr>
        <w:pStyle w:val="Heading5"/>
      </w:pPr>
      <w:r w:rsidRPr="00473EBF">
        <w:t>Exit Counseling</w:t>
      </w:r>
    </w:p>
    <w:p w14:paraId="376CE56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Regulations require that schools provide exit counseling. Exit counseling is an effective way to</w:t>
      </w:r>
    </w:p>
    <w:p w14:paraId="67A8E38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prevent defaults and is often the last opportunity that borrowers </w:t>
      </w:r>
      <w:proofErr w:type="gramStart"/>
      <w:r w:rsidRPr="00473EBF">
        <w:rPr>
          <w:sz w:val="22"/>
          <w:szCs w:val="22"/>
        </w:rPr>
        <w:t>have to</w:t>
      </w:r>
      <w:proofErr w:type="gramEnd"/>
      <w:r w:rsidRPr="00473EBF">
        <w:rPr>
          <w:sz w:val="22"/>
          <w:szCs w:val="22"/>
        </w:rPr>
        <w:t xml:space="preserve"> work with someone at</w:t>
      </w:r>
    </w:p>
    <w:p w14:paraId="552C8BD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 regarding their loans. In-depth counseling that focuses on fully explaining repayment</w:t>
      </w:r>
    </w:p>
    <w:p w14:paraId="28FE08A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plans and choices that fit the borrowers’ needs is essential. Exit counseling is the opportunity</w:t>
      </w:r>
    </w:p>
    <w:p w14:paraId="349FD6E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to clear up any </w:t>
      </w:r>
      <w:proofErr w:type="gramStart"/>
      <w:r w:rsidRPr="00473EBF">
        <w:rPr>
          <w:sz w:val="22"/>
          <w:szCs w:val="22"/>
        </w:rPr>
        <w:t>misconceptions</w:t>
      </w:r>
      <w:proofErr w:type="gramEnd"/>
      <w:r w:rsidRPr="00473EBF">
        <w:rPr>
          <w:sz w:val="22"/>
          <w:szCs w:val="22"/>
        </w:rPr>
        <w:t xml:space="preserve"> students may have about their loan obligations and re-</w:t>
      </w:r>
    </w:p>
    <w:p w14:paraId="7305022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emphasize the consequences of default. Schools should take full advantage of this opportunity</w:t>
      </w:r>
    </w:p>
    <w:p w14:paraId="2230C45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to work with their students. A large percentage of borrowers in delinquency either did not</w:t>
      </w:r>
    </w:p>
    <w:p w14:paraId="43E961E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have the benefit of receiving this information or did not receive it timely. Thorough exit</w:t>
      </w:r>
    </w:p>
    <w:p w14:paraId="6B5E818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counseling is a cornerstone of default prevention and is mandatory. (Section V Enhanced</w:t>
      </w:r>
    </w:p>
    <w:p w14:paraId="239C46B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Entrance and Exit Counseling)</w:t>
      </w:r>
    </w:p>
    <w:p w14:paraId="06D74BF6" w14:textId="77777777" w:rsidR="00396B98" w:rsidRDefault="00396B98" w:rsidP="00473EBF">
      <w:pPr>
        <w:pStyle w:val="p2"/>
        <w:rPr>
          <w:sz w:val="22"/>
          <w:szCs w:val="22"/>
        </w:rPr>
      </w:pPr>
    </w:p>
    <w:p w14:paraId="3D512A74" w14:textId="58C7DF88" w:rsidR="00473EBF" w:rsidRPr="00473EBF" w:rsidRDefault="00473EBF" w:rsidP="00396B98">
      <w:pPr>
        <w:pStyle w:val="Heading5"/>
      </w:pPr>
      <w:r w:rsidRPr="00473EBF">
        <w:t>Withdrawals</w:t>
      </w:r>
    </w:p>
    <w:p w14:paraId="6DD66D6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Many borrowers who default on their loans are borrowers who withdrew from school prior to</w:t>
      </w:r>
    </w:p>
    <w:p w14:paraId="5630946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completing their academic programs. These borrowers, at the highest risk of default, can often</w:t>
      </w:r>
    </w:p>
    <w:p w14:paraId="20BB5C3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be identified while still on campus. Early identification and timely intervention can improve</w:t>
      </w:r>
    </w:p>
    <w:p w14:paraId="4ECC6C9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student retention and reduce the number of defaulted loans. In addition to fulfilling the</w:t>
      </w:r>
    </w:p>
    <w:p w14:paraId="136DA2F6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regulatory requirement to provide exit counseling to students, schools should attempt to work</w:t>
      </w:r>
    </w:p>
    <w:p w14:paraId="7011784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with students even after they have left school by encouraging them to complete their programs</w:t>
      </w:r>
    </w:p>
    <w:p w14:paraId="693F3AF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of study and helping them resolve the issue(s) that prompted their withdrawal. Consider</w:t>
      </w:r>
    </w:p>
    <w:p w14:paraId="39C6F2F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offering job placement services for a limited timeframe to students who have withdrawn. In</w:t>
      </w:r>
    </w:p>
    <w:p w14:paraId="206405F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addition to providing a valuable service, schools can take advantage of the borrower’s return to</w:t>
      </w:r>
    </w:p>
    <w:p w14:paraId="384671F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campus to provide counseling. Note that an employed borrower, even one earning less than if</w:t>
      </w:r>
    </w:p>
    <w:p w14:paraId="018F976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he/she had completed school, is better able to make loan payments than an unemployed</w:t>
      </w:r>
    </w:p>
    <w:p w14:paraId="2E826314" w14:textId="77777777" w:rsidR="00396B98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borrower.</w:t>
      </w:r>
    </w:p>
    <w:p w14:paraId="6BB96D6C" w14:textId="77777777" w:rsidR="00396B98" w:rsidRDefault="00396B98" w:rsidP="00473EBF">
      <w:pPr>
        <w:pStyle w:val="p2"/>
        <w:rPr>
          <w:sz w:val="22"/>
          <w:szCs w:val="22"/>
        </w:rPr>
      </w:pPr>
    </w:p>
    <w:p w14:paraId="7CB12A5A" w14:textId="5B1FBD99" w:rsidR="00473EBF" w:rsidRPr="00473EBF" w:rsidRDefault="00473EBF" w:rsidP="00396B98">
      <w:pPr>
        <w:pStyle w:val="Heading5"/>
      </w:pPr>
      <w:r w:rsidRPr="00473EBF">
        <w:t>Timely and Accurate Enrollment Reporting</w:t>
      </w:r>
    </w:p>
    <w:p w14:paraId="33B2C54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Timely and accurate enrollment reporting to the Secretary or the guarantor as appropriate is</w:t>
      </w:r>
    </w:p>
    <w:p w14:paraId="6C46AFC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required by regulation and promotes school and student success. There is a direct correlation</w:t>
      </w:r>
    </w:p>
    <w:p w14:paraId="6ED2123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lastRenderedPageBreak/>
        <w:t>between late or inaccurate enrollment reporting and loan defaults.</w:t>
      </w:r>
    </w:p>
    <w:p w14:paraId="0C12FA7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This school activity ensures that borrowers receive their full grace period, and further ensures</w:t>
      </w:r>
    </w:p>
    <w:p w14:paraId="4F20742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that contacts from the loan servicer such as correspondence and telephone calls occur in the</w:t>
      </w:r>
    </w:p>
    <w:p w14:paraId="2B143DA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appropriate timing and sequence. The servicer’s contacts are designed to increase the</w:t>
      </w:r>
    </w:p>
    <w:p w14:paraId="428F035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likelihood that borrowers will satisfy loan obligations. Timely and accurate reporting of changes</w:t>
      </w:r>
    </w:p>
    <w:p w14:paraId="037F22B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 enrollment status is required of all schools. Adhering to a monthly schedule of reporting</w:t>
      </w:r>
    </w:p>
    <w:p w14:paraId="3F640D6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changes in enrollment status will help with data accuracy and is recommended. (Section VI</w:t>
      </w:r>
    </w:p>
    <w:p w14:paraId="7C637F2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Tools)</w:t>
      </w:r>
    </w:p>
    <w:p w14:paraId="6DC3204B" w14:textId="77777777" w:rsidR="00396B98" w:rsidRDefault="00396B98" w:rsidP="00473EBF">
      <w:pPr>
        <w:pStyle w:val="p2"/>
        <w:rPr>
          <w:sz w:val="22"/>
          <w:szCs w:val="22"/>
        </w:rPr>
      </w:pPr>
    </w:p>
    <w:p w14:paraId="10123811" w14:textId="5DED2577" w:rsidR="00473EBF" w:rsidRPr="00473EBF" w:rsidRDefault="00473EBF" w:rsidP="00396B98">
      <w:pPr>
        <w:pStyle w:val="Heading4"/>
      </w:pPr>
      <w:r w:rsidRPr="00473EBF">
        <w:t>Section IV After Students Leave School</w:t>
      </w:r>
    </w:p>
    <w:p w14:paraId="25FD948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There are simple and effective default prevention and management activities for schools that</w:t>
      </w:r>
    </w:p>
    <w:p w14:paraId="0C36F8C6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will help borrowers during repayment. In addition, there are activities to help schools correct</w:t>
      </w:r>
    </w:p>
    <w:p w14:paraId="33F28A9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data and improve prevention and management practices and initiatives.</w:t>
      </w:r>
    </w:p>
    <w:p w14:paraId="0602E3BF" w14:textId="77777777" w:rsidR="00396B98" w:rsidRDefault="00396B98" w:rsidP="00473EBF">
      <w:pPr>
        <w:pStyle w:val="p2"/>
        <w:rPr>
          <w:sz w:val="22"/>
          <w:szCs w:val="22"/>
        </w:rPr>
      </w:pPr>
    </w:p>
    <w:p w14:paraId="7ABB8158" w14:textId="78F910B5" w:rsidR="00473EBF" w:rsidRPr="00473EBF" w:rsidRDefault="00473EBF" w:rsidP="00396B98">
      <w:pPr>
        <w:pStyle w:val="Heading5"/>
      </w:pPr>
      <w:r w:rsidRPr="00473EBF">
        <w:t>NSLDS Date Entered Repayment (DER) Report</w:t>
      </w:r>
    </w:p>
    <w:p w14:paraId="065DF98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DER Report is available to schools upon request from NSLDS. The Department</w:t>
      </w:r>
    </w:p>
    <w:p w14:paraId="5E3B049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recommends that on a bi-monthly basis schools compare their DER Report to their institutional</w:t>
      </w:r>
    </w:p>
    <w:p w14:paraId="4099A925" w14:textId="1D301962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records, and make any necessary corrections to their borrowers’ status using NSLDS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Enrollment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Reporting. Schools should not assume that a borrower’s DER is correct, as it is subject to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change. Lenders can change a student’s enrollment status based on data from the</w:t>
      </w:r>
    </w:p>
    <w:p w14:paraId="61FAD49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clearinghouse or a student’s request. Likewise, a school can update enrollment information</w:t>
      </w:r>
    </w:p>
    <w:p w14:paraId="6EBBABF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based on information it receives from the student or another reliable source. Reviewing the</w:t>
      </w:r>
    </w:p>
    <w:p w14:paraId="30C19C5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DER Report will result in more accurate data, assuring that borrowers enter repayment in the</w:t>
      </w:r>
    </w:p>
    <w:p w14:paraId="0E96AB1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correct cohort year and that schools receive accurate cohort default rates (CDRs). (Section VI</w:t>
      </w:r>
    </w:p>
    <w:p w14:paraId="452D644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Tools)</w:t>
      </w:r>
    </w:p>
    <w:p w14:paraId="4A633EFA" w14:textId="77777777" w:rsidR="00396B98" w:rsidRDefault="00396B98" w:rsidP="00473EBF">
      <w:pPr>
        <w:pStyle w:val="p2"/>
        <w:rPr>
          <w:sz w:val="22"/>
          <w:szCs w:val="22"/>
        </w:rPr>
      </w:pPr>
    </w:p>
    <w:p w14:paraId="796C94A3" w14:textId="10348872" w:rsidR="00473EBF" w:rsidRPr="00473EBF" w:rsidRDefault="00473EBF" w:rsidP="00396B98">
      <w:pPr>
        <w:pStyle w:val="Heading5"/>
      </w:pPr>
      <w:proofErr w:type="gramStart"/>
      <w:r w:rsidRPr="00473EBF">
        <w:t>Early Stage</w:t>
      </w:r>
      <w:proofErr w:type="gramEnd"/>
      <w:r w:rsidRPr="00473EBF">
        <w:t xml:space="preserve"> Delinquency Assistance (ESDA)</w:t>
      </w:r>
    </w:p>
    <w:p w14:paraId="558F2EC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ESDA begins at the time of separation or early in the grace period. ESDA is a highly focused</w:t>
      </w:r>
    </w:p>
    <w:p w14:paraId="71030C1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effort by lenders, guarantors, and schools to assist </w:t>
      </w:r>
      <w:proofErr w:type="gramStart"/>
      <w:r w:rsidRPr="00473EBF">
        <w:rPr>
          <w:sz w:val="22"/>
          <w:szCs w:val="22"/>
        </w:rPr>
        <w:t>particular borrowers</w:t>
      </w:r>
      <w:proofErr w:type="gramEnd"/>
      <w:r w:rsidRPr="00473EBF">
        <w:rPr>
          <w:sz w:val="22"/>
          <w:szCs w:val="22"/>
        </w:rPr>
        <w:t xml:space="preserve"> to prepare for entry</w:t>
      </w:r>
    </w:p>
    <w:p w14:paraId="1CF2DEB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into loan repayment. Certain borrowers, such as those who have failed to complete </w:t>
      </w:r>
      <w:proofErr w:type="gramStart"/>
      <w:r w:rsidRPr="00473EBF">
        <w:rPr>
          <w:sz w:val="22"/>
          <w:szCs w:val="22"/>
        </w:rPr>
        <w:t>their</w:t>
      </w:r>
      <w:proofErr w:type="gramEnd"/>
    </w:p>
    <w:p w14:paraId="2C56D39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academic program, or borrowers who share specific characteristics or academic or related</w:t>
      </w:r>
    </w:p>
    <w:p w14:paraId="1A00422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experiences, may be more likely to encounter difficulties initiating and maintaining on-time</w:t>
      </w:r>
    </w:p>
    <w:p w14:paraId="16F6235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loan repayment. ESDA activities afford lenders, guarantors, and schools an opportunity to</w:t>
      </w:r>
    </w:p>
    <w:p w14:paraId="7BB6864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provide focused, enhanced loan counseling, borrower education, and personal support during</w:t>
      </w:r>
    </w:p>
    <w:p w14:paraId="244A9BE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grace period, and in so doing help decrease the chances of later loan default. In addition to</w:t>
      </w:r>
    </w:p>
    <w:p w14:paraId="5D4AB5D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ESDA, schools should utilize default aversion assistance offered by guarantors and similar</w:t>
      </w:r>
    </w:p>
    <w:p w14:paraId="162FE92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assistance from the Direct Loan Servicer for borrowers who are at least 60 days delinquent.</w:t>
      </w:r>
    </w:p>
    <w:p w14:paraId="02DC5C63" w14:textId="77777777" w:rsidR="00396B98" w:rsidRDefault="00396B98" w:rsidP="00473EBF">
      <w:pPr>
        <w:pStyle w:val="p2"/>
        <w:rPr>
          <w:sz w:val="22"/>
          <w:szCs w:val="22"/>
        </w:rPr>
      </w:pPr>
    </w:p>
    <w:p w14:paraId="47105F66" w14:textId="5181FD39" w:rsidR="00473EBF" w:rsidRPr="00473EBF" w:rsidRDefault="00473EBF" w:rsidP="00396B98">
      <w:pPr>
        <w:pStyle w:val="Heading5"/>
      </w:pPr>
      <w:proofErr w:type="gramStart"/>
      <w:r w:rsidRPr="00473EBF">
        <w:t>Late Stage</w:t>
      </w:r>
      <w:proofErr w:type="gramEnd"/>
      <w:r w:rsidRPr="00473EBF">
        <w:t xml:space="preserve"> Delinquency Assistance (LSDA)</w:t>
      </w:r>
    </w:p>
    <w:p w14:paraId="5A28AAE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Though guarantors and the Direct Loan Servicer are extremely effective in working with</w:t>
      </w:r>
    </w:p>
    <w:p w14:paraId="6531AB32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throughout repayment, they lose touch with some borrowers. Schools can often</w:t>
      </w:r>
    </w:p>
    <w:p w14:paraId="3D81955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help to re-establish this critical communication during the late stages of delinquency, serving as</w:t>
      </w:r>
    </w:p>
    <w:p w14:paraId="2F4B5EA9" w14:textId="7EB83424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 liaison between delinquent borrowers and staff experienced in borrower assistance. LSDA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techniques enable schools to rescue severely delinquent borrowers, those who are more than</w:t>
      </w:r>
    </w:p>
    <w:p w14:paraId="48DD5775" w14:textId="77777777" w:rsidR="00396B98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lastRenderedPageBreak/>
        <w:t>240 but less than 361 days delinquent, from default.</w:t>
      </w:r>
      <w:r w:rsidR="00396B98">
        <w:rPr>
          <w:sz w:val="22"/>
          <w:szCs w:val="22"/>
        </w:rPr>
        <w:t xml:space="preserve"> </w:t>
      </w:r>
    </w:p>
    <w:p w14:paraId="083B38BE" w14:textId="147E35A9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LSDA can be successfully implemented with a minimal investment of time and staff. Even for a</w:t>
      </w:r>
    </w:p>
    <w:p w14:paraId="62FC960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large school, the number of borrowers in this delinquent group is generally small. Several</w:t>
      </w:r>
    </w:p>
    <w:p w14:paraId="0F1495E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telephone calls a month lets the most delinquent borrowers know that they have options, and</w:t>
      </w:r>
    </w:p>
    <w:p w14:paraId="23C7DFC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that help is available. (Section VI Tools)</w:t>
      </w:r>
    </w:p>
    <w:p w14:paraId="7D38A738" w14:textId="77777777" w:rsidR="00396B98" w:rsidRDefault="00396B98" w:rsidP="00473EBF">
      <w:pPr>
        <w:pStyle w:val="p2"/>
        <w:rPr>
          <w:sz w:val="22"/>
          <w:szCs w:val="22"/>
        </w:rPr>
      </w:pPr>
    </w:p>
    <w:p w14:paraId="45E1218C" w14:textId="6E70ECC8" w:rsidR="00473EBF" w:rsidRPr="00473EBF" w:rsidRDefault="00473EBF" w:rsidP="00396B98">
      <w:pPr>
        <w:pStyle w:val="Heading5"/>
      </w:pPr>
      <w:r w:rsidRPr="00473EBF">
        <w:t>Maintain Contact with Former Students</w:t>
      </w:r>
    </w:p>
    <w:p w14:paraId="68D0D78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Schools find that </w:t>
      </w:r>
      <w:proofErr w:type="gramStart"/>
      <w:r w:rsidRPr="00473EBF">
        <w:rPr>
          <w:sz w:val="22"/>
          <w:szCs w:val="22"/>
        </w:rPr>
        <w:t>all of</w:t>
      </w:r>
      <w:proofErr w:type="gramEnd"/>
      <w:r w:rsidRPr="00473EBF">
        <w:rPr>
          <w:sz w:val="22"/>
          <w:szCs w:val="22"/>
        </w:rPr>
        <w:t xml:space="preserve"> the practices and strategies mentioned previously are much easier to</w:t>
      </w:r>
    </w:p>
    <w:p w14:paraId="2EE9C79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employ if they </w:t>
      </w:r>
      <w:proofErr w:type="gramStart"/>
      <w:r w:rsidRPr="00473EBF">
        <w:rPr>
          <w:sz w:val="22"/>
          <w:szCs w:val="22"/>
        </w:rPr>
        <w:t>are able to</w:t>
      </w:r>
      <w:proofErr w:type="gramEnd"/>
      <w:r w:rsidRPr="00473EBF">
        <w:rPr>
          <w:sz w:val="22"/>
          <w:szCs w:val="22"/>
        </w:rPr>
        <w:t xml:space="preserve"> reach and keep in contact with their former students after they have</w:t>
      </w:r>
    </w:p>
    <w:p w14:paraId="599B9CE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left campus. By collecting ample reference information including cell phone numbers, e-mail</w:t>
      </w:r>
    </w:p>
    <w:p w14:paraId="41DE9BE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addresses, and numbers and names of a variety of family members such as grandparents and</w:t>
      </w:r>
    </w:p>
    <w:p w14:paraId="1410259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cousins, schools have the resources to maintain contact with former students. Allowing</w:t>
      </w:r>
    </w:p>
    <w:p w14:paraId="4A7FEE6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to continue to use school e-mail accounts after they have left campus is not only a</w:t>
      </w:r>
    </w:p>
    <w:p w14:paraId="28EA7EC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convenience to borrowers, but also a quick, easy, and effective method of contacting them</w:t>
      </w:r>
    </w:p>
    <w:p w14:paraId="470E4E1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after they have left school. One of the best methods schools can employ to avert defaults is to</w:t>
      </w:r>
    </w:p>
    <w:p w14:paraId="0AD6B23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work with borrowers during every stage of repayment. Work with lenders, guaranty agencies,</w:t>
      </w:r>
    </w:p>
    <w:p w14:paraId="69804E2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and servicers to identify delinquent and hard to reach borrowers, or those who have not been</w:t>
      </w:r>
    </w:p>
    <w:p w14:paraId="7A4354B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contacted at all to assist them with their repayment options and obligations. Contacting</w:t>
      </w:r>
    </w:p>
    <w:p w14:paraId="041681F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is an essential activity upon which successful default prevention and management</w:t>
      </w:r>
    </w:p>
    <w:p w14:paraId="6E84E07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can be built. Contact from the school may be the only effective technique to save a borrower</w:t>
      </w:r>
    </w:p>
    <w:p w14:paraId="7AA4C34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from the negative consequences of default.</w:t>
      </w:r>
    </w:p>
    <w:p w14:paraId="03B9AEC6" w14:textId="77777777" w:rsidR="00396B98" w:rsidRDefault="00396B98" w:rsidP="00473EBF">
      <w:pPr>
        <w:pStyle w:val="p2"/>
        <w:rPr>
          <w:sz w:val="22"/>
          <w:szCs w:val="22"/>
        </w:rPr>
      </w:pPr>
    </w:p>
    <w:p w14:paraId="1DE4202F" w14:textId="5BCA8769" w:rsidR="00473EBF" w:rsidRPr="00473EBF" w:rsidRDefault="00473EBF" w:rsidP="00396B98">
      <w:pPr>
        <w:pStyle w:val="Heading5"/>
      </w:pPr>
      <w:r w:rsidRPr="00473EBF">
        <w:t>Loan Record Detail Report (LRDR) Data Review</w:t>
      </w:r>
    </w:p>
    <w:p w14:paraId="53B3772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Although an aggressive and proactive approach to default prevention and management is a</w:t>
      </w:r>
    </w:p>
    <w:p w14:paraId="26EDEE7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must for all schools, school responsibilities do not end with prevention plans, initiatives, and</w:t>
      </w:r>
    </w:p>
    <w:p w14:paraId="10E28EB9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strategies. Schools, borrowers, and the loan programs in general all benefit from a thorough</w:t>
      </w:r>
    </w:p>
    <w:p w14:paraId="5E89FED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examination of the draft and official CDR data to ensure that the rates are accurate and include</w:t>
      </w:r>
    </w:p>
    <w:p w14:paraId="6F032BD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the correct borrowers and loans. Upon receiving their rates, schools should examine </w:t>
      </w:r>
      <w:proofErr w:type="gramStart"/>
      <w:r w:rsidRPr="00473EBF">
        <w:rPr>
          <w:sz w:val="22"/>
          <w:szCs w:val="22"/>
        </w:rPr>
        <w:t>their</w:t>
      </w:r>
      <w:proofErr w:type="gramEnd"/>
    </w:p>
    <w:p w14:paraId="67B5C2D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LRDR, the report containing all the data that comprises the CDR calculation. The Department</w:t>
      </w:r>
    </w:p>
    <w:p w14:paraId="430106A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recommends that all schools review their LRDR regardless of their CDR. It is the school’s</w:t>
      </w:r>
    </w:p>
    <w:p w14:paraId="196A00C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responsibility to challenge incorrect data reflected in their draft CDR, or request an adjustment,</w:t>
      </w:r>
    </w:p>
    <w:p w14:paraId="12ABA0C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or submit an appeal of inaccurate data as reflected in their official CDR. (Section VI Tools)</w:t>
      </w:r>
    </w:p>
    <w:p w14:paraId="2B458AFF" w14:textId="77777777" w:rsidR="00396B98" w:rsidRDefault="00396B98" w:rsidP="00473EBF">
      <w:pPr>
        <w:pStyle w:val="p2"/>
        <w:rPr>
          <w:sz w:val="22"/>
          <w:szCs w:val="22"/>
        </w:rPr>
      </w:pPr>
    </w:p>
    <w:p w14:paraId="5D443375" w14:textId="469A5F44" w:rsidR="00473EBF" w:rsidRPr="00473EBF" w:rsidRDefault="00473EBF" w:rsidP="00396B98">
      <w:pPr>
        <w:pStyle w:val="Heading5"/>
      </w:pPr>
      <w:r w:rsidRPr="00473EBF">
        <w:t>Analyze Defaulted Loan Data to Identify Defaulter Characteristics</w:t>
      </w:r>
    </w:p>
    <w:p w14:paraId="1C76F3A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No matter how effective and far-reaching a default prevention and management plan is, some</w:t>
      </w:r>
    </w:p>
    <w:p w14:paraId="1A6F54C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borrowers default. A major part of any plan is to periodically review progress in preventing</w:t>
      </w:r>
    </w:p>
    <w:p w14:paraId="3C14CFE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defaults. One element of this review is a comprehensive analysis of defaulters. Schools should</w:t>
      </w:r>
    </w:p>
    <w:p w14:paraId="0577C64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gather information to discern who is defaulting and why. Schools can then use this information</w:t>
      </w:r>
    </w:p>
    <w:p w14:paraId="5EFF5076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to improve their default prevention and management practices and initiatives. Internal data</w:t>
      </w:r>
    </w:p>
    <w:p w14:paraId="03BEAC9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includes key information such as high school attended, program of study, demographics,</w:t>
      </w:r>
    </w:p>
    <w:p w14:paraId="44EEE72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grades, etc. Reviewing the LRDR also provides key data about borrowers that can assist in</w:t>
      </w:r>
    </w:p>
    <w:p w14:paraId="1C26B10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determining common characteristics among defaulters. Causes for defaults can include, but are</w:t>
      </w:r>
    </w:p>
    <w:p w14:paraId="1361A4D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not limited to, absent or incomplete internal procedures, practices, and communication,</w:t>
      </w:r>
    </w:p>
    <w:p w14:paraId="23FEBE41" w14:textId="77777777" w:rsidR="00473EBF" w:rsidRPr="00473EBF" w:rsidRDefault="00473EBF" w:rsidP="00473EBF">
      <w:pPr>
        <w:pStyle w:val="p2"/>
        <w:rPr>
          <w:sz w:val="22"/>
          <w:szCs w:val="22"/>
        </w:rPr>
      </w:pPr>
      <w:proofErr w:type="gramStart"/>
      <w:r w:rsidRPr="00473EBF">
        <w:rPr>
          <w:sz w:val="22"/>
          <w:szCs w:val="22"/>
        </w:rPr>
        <w:t>particular programs</w:t>
      </w:r>
      <w:proofErr w:type="gramEnd"/>
      <w:r w:rsidRPr="00473EBF">
        <w:rPr>
          <w:sz w:val="22"/>
          <w:szCs w:val="22"/>
        </w:rPr>
        <w:t xml:space="preserve"> and course requirements or structure, and ineffective counseling.</w:t>
      </w:r>
    </w:p>
    <w:p w14:paraId="7ED582C6" w14:textId="1667AE6C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lastRenderedPageBreak/>
        <w:t>Frequent examination of defaulter characteristics coupled with an assessment of default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prevention and management successes and shortcomings provide valuable information.</w:t>
      </w:r>
    </w:p>
    <w:p w14:paraId="6006EAD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Schools promote success by taking preventive measures to correct ineffective practices thereby</w:t>
      </w:r>
    </w:p>
    <w:p w14:paraId="046C8FE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preventing current and future borrowers from experiencing the same difficulties that plagued</w:t>
      </w:r>
    </w:p>
    <w:p w14:paraId="53D866A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past defaulters. One solution to preventing future defaults lies in understanding what caused</w:t>
      </w:r>
    </w:p>
    <w:p w14:paraId="2FE8070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past defaults.</w:t>
      </w:r>
    </w:p>
    <w:p w14:paraId="36AA8647" w14:textId="77777777" w:rsidR="00396B98" w:rsidRDefault="00396B98" w:rsidP="00473EBF">
      <w:pPr>
        <w:pStyle w:val="p2"/>
        <w:rPr>
          <w:sz w:val="22"/>
          <w:szCs w:val="22"/>
        </w:rPr>
      </w:pPr>
    </w:p>
    <w:p w14:paraId="7362DEB3" w14:textId="229B30C4" w:rsidR="00473EBF" w:rsidRPr="00473EBF" w:rsidRDefault="00473EBF" w:rsidP="00396B98">
      <w:pPr>
        <w:pStyle w:val="Heading4"/>
      </w:pPr>
      <w:r w:rsidRPr="00473EBF">
        <w:t>Section V Enhanced Entrance and Exit Counseling</w:t>
      </w:r>
    </w:p>
    <w:p w14:paraId="3306719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 addition to complying with the applicable requirements in 34 CFR 682.604, 34 CFR 685.304,</w:t>
      </w:r>
    </w:p>
    <w:p w14:paraId="5763FA38" w14:textId="191639B6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34 CFR 668.165 and 34 CFR 668 Subpart D, the Department recommends that entrance and exit</w:t>
      </w:r>
      <w:r w:rsidR="00396B98">
        <w:rPr>
          <w:sz w:val="22"/>
          <w:szCs w:val="22"/>
        </w:rPr>
        <w:t xml:space="preserve"> </w:t>
      </w:r>
      <w:r w:rsidRPr="00473EBF">
        <w:rPr>
          <w:sz w:val="22"/>
          <w:szCs w:val="22"/>
        </w:rPr>
        <w:t>counseling also include the following:</w:t>
      </w:r>
    </w:p>
    <w:p w14:paraId="7CE07225" w14:textId="77777777" w:rsidR="00396B98" w:rsidRDefault="00396B98" w:rsidP="00473EBF">
      <w:pPr>
        <w:pStyle w:val="p2"/>
        <w:rPr>
          <w:sz w:val="22"/>
          <w:szCs w:val="22"/>
        </w:rPr>
      </w:pPr>
    </w:p>
    <w:p w14:paraId="318326F6" w14:textId="1EA36182" w:rsidR="00473EBF" w:rsidRPr="00473EBF" w:rsidRDefault="00473EBF" w:rsidP="00396B98">
      <w:pPr>
        <w:pStyle w:val="Heading5"/>
      </w:pPr>
      <w:r w:rsidRPr="00473EBF">
        <w:t>Requests for Borrower Information</w:t>
      </w:r>
    </w:p>
    <w:p w14:paraId="27BD8229" w14:textId="3DC7C05D" w:rsidR="00473EBF" w:rsidRPr="00396B98" w:rsidRDefault="00473EBF" w:rsidP="00396B98">
      <w:pPr>
        <w:pStyle w:val="p2"/>
        <w:numPr>
          <w:ilvl w:val="0"/>
          <w:numId w:val="8"/>
        </w:numPr>
        <w:rPr>
          <w:sz w:val="22"/>
          <w:szCs w:val="22"/>
        </w:rPr>
      </w:pPr>
      <w:r w:rsidRPr="00473EBF">
        <w:rPr>
          <w:sz w:val="22"/>
          <w:szCs w:val="22"/>
        </w:rPr>
        <w:t>During entrance and exit counseling, obtain information from borrowers regarding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references and family members beyond those requested on the loan application, and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ask for cell phone numbers and email addresses for borrowers and for family </w:t>
      </w:r>
      <w:proofErr w:type="gramStart"/>
      <w:r w:rsidRPr="00396B98">
        <w:rPr>
          <w:sz w:val="22"/>
          <w:szCs w:val="22"/>
        </w:rPr>
        <w:t>members;</w:t>
      </w:r>
      <w:proofErr w:type="gramEnd"/>
    </w:p>
    <w:p w14:paraId="03D4FBCB" w14:textId="050A8E77" w:rsidR="00473EBF" w:rsidRPr="00396B98" w:rsidRDefault="00473EBF" w:rsidP="00396B98">
      <w:pPr>
        <w:pStyle w:val="p2"/>
        <w:numPr>
          <w:ilvl w:val="0"/>
          <w:numId w:val="8"/>
        </w:numPr>
        <w:rPr>
          <w:sz w:val="22"/>
          <w:szCs w:val="22"/>
        </w:rPr>
      </w:pPr>
      <w:r w:rsidRPr="00473EBF">
        <w:rPr>
          <w:sz w:val="22"/>
          <w:szCs w:val="22"/>
        </w:rPr>
        <w:t>During exit counseling, obtain updated information from borrowers including their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addresses, cell phone numbers, email addresses, and addresses of their references and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various family members.</w:t>
      </w:r>
    </w:p>
    <w:p w14:paraId="0A3222DE" w14:textId="77777777" w:rsidR="00396B98" w:rsidRDefault="00396B98" w:rsidP="00473EBF">
      <w:pPr>
        <w:pStyle w:val="p2"/>
        <w:rPr>
          <w:sz w:val="22"/>
          <w:szCs w:val="22"/>
        </w:rPr>
      </w:pPr>
    </w:p>
    <w:p w14:paraId="1CCC5AE3" w14:textId="04B0B591" w:rsidR="00473EBF" w:rsidRPr="00473EBF" w:rsidRDefault="00473EBF" w:rsidP="00396B98">
      <w:pPr>
        <w:pStyle w:val="Heading5"/>
      </w:pPr>
      <w:r w:rsidRPr="00473EBF">
        <w:t>Information about Repaying the Loan</w:t>
      </w:r>
    </w:p>
    <w:p w14:paraId="66C77C85" w14:textId="0288C808" w:rsidR="00473EBF" w:rsidRPr="00473EBF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 xml:space="preserve">Estimated balance of loan(s) when the borrower completes the </w:t>
      </w:r>
      <w:proofErr w:type="gramStart"/>
      <w:r w:rsidRPr="00473EBF">
        <w:rPr>
          <w:sz w:val="22"/>
          <w:szCs w:val="22"/>
        </w:rPr>
        <w:t>program;</w:t>
      </w:r>
      <w:proofErr w:type="gramEnd"/>
    </w:p>
    <w:p w14:paraId="0E00F427" w14:textId="546E9AF8" w:rsidR="00473EBF" w:rsidRPr="00473EBF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>Interest rate on the borrower’s loan(s</w:t>
      </w:r>
      <w:proofErr w:type="gramStart"/>
      <w:r w:rsidRPr="00473EBF">
        <w:rPr>
          <w:sz w:val="22"/>
          <w:szCs w:val="22"/>
        </w:rPr>
        <w:t>);</w:t>
      </w:r>
      <w:proofErr w:type="gramEnd"/>
    </w:p>
    <w:p w14:paraId="55A33CFB" w14:textId="323C018D" w:rsidR="00473EBF" w:rsidRPr="00473EBF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 xml:space="preserve">Name, address and telephone number for the borrower’s </w:t>
      </w:r>
      <w:proofErr w:type="gramStart"/>
      <w:r w:rsidRPr="00473EBF">
        <w:rPr>
          <w:sz w:val="22"/>
          <w:szCs w:val="22"/>
        </w:rPr>
        <w:t>lender;</w:t>
      </w:r>
      <w:proofErr w:type="gramEnd"/>
    </w:p>
    <w:p w14:paraId="7F3266F6" w14:textId="470CB668" w:rsidR="00473EBF" w:rsidRPr="00396B98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>During exit counseling, provide a sample loan repayment schedule based on the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borrower’s total loan </w:t>
      </w:r>
      <w:proofErr w:type="gramStart"/>
      <w:r w:rsidRPr="00396B98">
        <w:rPr>
          <w:sz w:val="22"/>
          <w:szCs w:val="22"/>
        </w:rPr>
        <w:t>indebtedness;</w:t>
      </w:r>
      <w:proofErr w:type="gramEnd"/>
    </w:p>
    <w:p w14:paraId="0DB23709" w14:textId="168CE801" w:rsidR="00473EBF" w:rsidRPr="00396B98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>Estimated monthly income that the borrower can reasonably expect to receive in his or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her first year of employment based on the education received at your </w:t>
      </w:r>
      <w:proofErr w:type="gramStart"/>
      <w:r w:rsidRPr="00396B98">
        <w:rPr>
          <w:sz w:val="22"/>
          <w:szCs w:val="22"/>
        </w:rPr>
        <w:t>school;</w:t>
      </w:r>
      <w:proofErr w:type="gramEnd"/>
    </w:p>
    <w:p w14:paraId="08F60BDF" w14:textId="4F1E4D21" w:rsidR="00473EBF" w:rsidRPr="00473EBF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>Estimated date of the borrower’s first scheduled payment.</w:t>
      </w:r>
    </w:p>
    <w:p w14:paraId="11CB2230" w14:textId="77777777" w:rsidR="00396B98" w:rsidRDefault="00396B98" w:rsidP="00473EBF">
      <w:pPr>
        <w:pStyle w:val="p2"/>
        <w:rPr>
          <w:sz w:val="22"/>
          <w:szCs w:val="22"/>
        </w:rPr>
      </w:pPr>
    </w:p>
    <w:p w14:paraId="623214F2" w14:textId="0E208CED" w:rsidR="00473EBF" w:rsidRPr="00473EBF" w:rsidRDefault="00473EBF" w:rsidP="00396B98">
      <w:pPr>
        <w:pStyle w:val="Heading5"/>
      </w:pPr>
      <w:r w:rsidRPr="00473EBF">
        <w:t>Reminders about Personal Financial Management and Title IV Loans</w:t>
      </w:r>
    </w:p>
    <w:p w14:paraId="44DAD57C" w14:textId="4BF80B0C" w:rsidR="00473EBF" w:rsidRPr="00396B98" w:rsidRDefault="00473EBF" w:rsidP="00396B98">
      <w:pPr>
        <w:pStyle w:val="p2"/>
        <w:numPr>
          <w:ilvl w:val="0"/>
          <w:numId w:val="12"/>
        </w:numPr>
        <w:rPr>
          <w:sz w:val="22"/>
          <w:szCs w:val="22"/>
        </w:rPr>
      </w:pPr>
      <w:r w:rsidRPr="00473EBF">
        <w:rPr>
          <w:sz w:val="22"/>
          <w:szCs w:val="22"/>
        </w:rPr>
        <w:t>Schools should provide financial literacy resources to borrowers at enrollment,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throughout attendance, and following graduation or </w:t>
      </w:r>
      <w:proofErr w:type="gramStart"/>
      <w:r w:rsidRPr="00396B98">
        <w:rPr>
          <w:sz w:val="22"/>
          <w:szCs w:val="22"/>
        </w:rPr>
        <w:t>withdrawal;</w:t>
      </w:r>
      <w:proofErr w:type="gramEnd"/>
    </w:p>
    <w:p w14:paraId="279BC4AF" w14:textId="7299823F" w:rsidR="00473EBF" w:rsidRPr="00396B98" w:rsidRDefault="00473EBF" w:rsidP="00396B98">
      <w:pPr>
        <w:pStyle w:val="p2"/>
        <w:numPr>
          <w:ilvl w:val="0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 xml:space="preserve">Students should borrow only what is needed and can cancel or return any funds </w:t>
      </w:r>
      <w:proofErr w:type="gramStart"/>
      <w:r w:rsidRPr="00473EBF">
        <w:rPr>
          <w:sz w:val="22"/>
          <w:szCs w:val="22"/>
        </w:rPr>
        <w:t>in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excess of</w:t>
      </w:r>
      <w:proofErr w:type="gramEnd"/>
      <w:r w:rsidRPr="00396B98">
        <w:rPr>
          <w:sz w:val="22"/>
          <w:szCs w:val="22"/>
        </w:rPr>
        <w:t xml:space="preserve"> what is </w:t>
      </w:r>
      <w:proofErr w:type="gramStart"/>
      <w:r w:rsidRPr="00396B98">
        <w:rPr>
          <w:sz w:val="22"/>
          <w:szCs w:val="22"/>
        </w:rPr>
        <w:t>needed;</w:t>
      </w:r>
      <w:proofErr w:type="gramEnd"/>
    </w:p>
    <w:p w14:paraId="1960E7D9" w14:textId="0CDDDD20" w:rsidR="00473EBF" w:rsidRPr="00396B98" w:rsidRDefault="00473EBF" w:rsidP="00396B98">
      <w:pPr>
        <w:pStyle w:val="p2"/>
        <w:numPr>
          <w:ilvl w:val="0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>Borrowers must inform their lenders immediately of any change of name, address,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telephone number, or social security </w:t>
      </w:r>
      <w:proofErr w:type="gramStart"/>
      <w:r w:rsidRPr="00396B98">
        <w:rPr>
          <w:sz w:val="22"/>
          <w:szCs w:val="22"/>
        </w:rPr>
        <w:t>number;</w:t>
      </w:r>
      <w:proofErr w:type="gramEnd"/>
    </w:p>
    <w:p w14:paraId="2156E484" w14:textId="37EE9899" w:rsidR="00473EBF" w:rsidRPr="00396B98" w:rsidRDefault="00473EBF" w:rsidP="00396B98">
      <w:pPr>
        <w:pStyle w:val="p2"/>
        <w:numPr>
          <w:ilvl w:val="0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>If a borrower is unable to make a scheduled payment, he or she should contact the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lender before the payment’s due date to discuss a change in repayment plan or other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 xml:space="preserve">repayment </w:t>
      </w:r>
      <w:proofErr w:type="gramStart"/>
      <w:r w:rsidRPr="00396B98">
        <w:rPr>
          <w:sz w:val="22"/>
          <w:szCs w:val="22"/>
        </w:rPr>
        <w:t>options;</w:t>
      </w:r>
      <w:proofErr w:type="gramEnd"/>
    </w:p>
    <w:p w14:paraId="1D896769" w14:textId="16D40DCB" w:rsidR="00473EBF" w:rsidRPr="00473EBF" w:rsidRDefault="00473EBF" w:rsidP="00396B98">
      <w:pPr>
        <w:pStyle w:val="p2"/>
        <w:numPr>
          <w:ilvl w:val="0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>General information should be provided about:</w:t>
      </w:r>
    </w:p>
    <w:p w14:paraId="3B50EE41" w14:textId="6021E4BC" w:rsidR="00473EBF" w:rsidRPr="00473EBF" w:rsidRDefault="00473EBF" w:rsidP="009A2DED">
      <w:pPr>
        <w:pStyle w:val="p2"/>
        <w:numPr>
          <w:ilvl w:val="1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>Repayment options; and</w:t>
      </w:r>
    </w:p>
    <w:p w14:paraId="2D68F612" w14:textId="5B2FB108" w:rsidR="00473EBF" w:rsidRPr="00396B98" w:rsidRDefault="00473EBF" w:rsidP="00396B98">
      <w:pPr>
        <w:pStyle w:val="p2"/>
        <w:numPr>
          <w:ilvl w:val="1"/>
          <w:numId w:val="13"/>
        </w:numPr>
        <w:rPr>
          <w:sz w:val="22"/>
          <w:szCs w:val="22"/>
        </w:rPr>
      </w:pPr>
      <w:r w:rsidRPr="00473EBF">
        <w:rPr>
          <w:sz w:val="22"/>
          <w:szCs w:val="22"/>
        </w:rPr>
        <w:t>The sale of loans by lenders and the use by lenders of outside contractors</w:t>
      </w:r>
      <w:r w:rsidR="00396B98">
        <w:rPr>
          <w:sz w:val="22"/>
          <w:szCs w:val="22"/>
        </w:rPr>
        <w:t xml:space="preserve"> </w:t>
      </w:r>
      <w:r w:rsidRPr="00396B98">
        <w:rPr>
          <w:sz w:val="22"/>
          <w:szCs w:val="22"/>
        </w:rPr>
        <w:t>to service loans.</w:t>
      </w:r>
    </w:p>
    <w:p w14:paraId="2C8A74AC" w14:textId="77777777" w:rsidR="00396B98" w:rsidRDefault="00396B98" w:rsidP="00473EBF">
      <w:pPr>
        <w:pStyle w:val="p2"/>
        <w:rPr>
          <w:sz w:val="22"/>
          <w:szCs w:val="22"/>
        </w:rPr>
      </w:pPr>
    </w:p>
    <w:p w14:paraId="2EB4CDD5" w14:textId="36AD2C54" w:rsidR="00473EBF" w:rsidRPr="00473EBF" w:rsidRDefault="00473EBF" w:rsidP="00396B98">
      <w:pPr>
        <w:pStyle w:val="Heading4"/>
      </w:pPr>
      <w:r w:rsidRPr="00473EBF">
        <w:t>Section VI Tools and Activities for Schools</w:t>
      </w:r>
    </w:p>
    <w:p w14:paraId="69492E2E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These recommended tools for schools ensure data accuracy and employ effective </w:t>
      </w:r>
      <w:proofErr w:type="spellStart"/>
      <w:r w:rsidRPr="00473EBF">
        <w:rPr>
          <w:sz w:val="22"/>
          <w:szCs w:val="22"/>
        </w:rPr>
        <w:t>loancounseling</w:t>
      </w:r>
      <w:proofErr w:type="spellEnd"/>
      <w:r w:rsidRPr="00473EBF">
        <w:rPr>
          <w:sz w:val="22"/>
          <w:szCs w:val="22"/>
        </w:rPr>
        <w:t xml:space="preserve"> and default prevention and management techniques to aid students and schools.</w:t>
      </w:r>
    </w:p>
    <w:p w14:paraId="0BC914E5" w14:textId="77777777" w:rsidR="00396B98" w:rsidRDefault="00396B98" w:rsidP="00396B98">
      <w:pPr>
        <w:pStyle w:val="Heading5"/>
      </w:pPr>
    </w:p>
    <w:p w14:paraId="377D97B1" w14:textId="5769AAC4" w:rsidR="00473EBF" w:rsidRPr="00473EBF" w:rsidRDefault="00473EBF" w:rsidP="00396B98">
      <w:pPr>
        <w:pStyle w:val="Heading5"/>
      </w:pPr>
      <w:r w:rsidRPr="00473EBF">
        <w:t>Where do I begin?</w:t>
      </w:r>
    </w:p>
    <w:p w14:paraId="68313A3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FSA Assessments for Default Prevention and Management</w:t>
      </w:r>
    </w:p>
    <w:p w14:paraId="71A223AD" w14:textId="743F901E" w:rsidR="00F119D9" w:rsidRPr="00473EBF" w:rsidRDefault="00F119D9" w:rsidP="00473EBF">
      <w:pPr>
        <w:pStyle w:val="p3"/>
        <w:rPr>
          <w:sz w:val="22"/>
          <w:szCs w:val="22"/>
        </w:rPr>
      </w:pPr>
      <w:hyperlink r:id="rId15" w:history="1">
        <w:r w:rsidRPr="00504724">
          <w:rPr>
            <w:rStyle w:val="Hyperlink"/>
            <w:sz w:val="22"/>
            <w:szCs w:val="22"/>
          </w:rPr>
          <w:t>https://ifap.ed.gov/foreign-school-information</w:t>
        </w:r>
      </w:hyperlink>
    </w:p>
    <w:p w14:paraId="19127BCB" w14:textId="77777777" w:rsidR="00396B98" w:rsidRDefault="00396B98" w:rsidP="00473EBF">
      <w:pPr>
        <w:pStyle w:val="p2"/>
        <w:rPr>
          <w:sz w:val="22"/>
          <w:szCs w:val="22"/>
        </w:rPr>
      </w:pPr>
    </w:p>
    <w:p w14:paraId="25B49974" w14:textId="3C335A0D" w:rsidR="00473EBF" w:rsidRPr="00473EBF" w:rsidRDefault="00473EBF" w:rsidP="00396B98">
      <w:pPr>
        <w:pStyle w:val="Heading5"/>
      </w:pPr>
      <w:r w:rsidRPr="00473EBF">
        <w:t>Loan Counseling</w:t>
      </w:r>
    </w:p>
    <w:p w14:paraId="1C6FC0D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Students and Counselors</w:t>
      </w:r>
    </w:p>
    <w:p w14:paraId="03EC9B06" w14:textId="03F04694" w:rsidR="00F119D9" w:rsidRPr="00473EBF" w:rsidRDefault="00F119D9" w:rsidP="00473EBF">
      <w:pPr>
        <w:pStyle w:val="p3"/>
        <w:rPr>
          <w:sz w:val="22"/>
          <w:szCs w:val="22"/>
        </w:rPr>
      </w:pPr>
      <w:hyperlink r:id="rId16" w:history="1">
        <w:r w:rsidRPr="00504724">
          <w:rPr>
            <w:rStyle w:val="Hyperlink"/>
            <w:sz w:val="22"/>
            <w:szCs w:val="22"/>
          </w:rPr>
          <w:t>http://www.studentaid.ed.gov</w:t>
        </w:r>
      </w:hyperlink>
    </w:p>
    <w:p w14:paraId="6C0B027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Student Guide and NSLDS for Students</w:t>
      </w:r>
    </w:p>
    <w:p w14:paraId="5BAA0414" w14:textId="5EFCA7E6" w:rsidR="00F119D9" w:rsidRPr="00473EBF" w:rsidRDefault="00F119D9" w:rsidP="00473EBF">
      <w:pPr>
        <w:pStyle w:val="p3"/>
        <w:rPr>
          <w:sz w:val="22"/>
          <w:szCs w:val="22"/>
        </w:rPr>
      </w:pPr>
      <w:hyperlink r:id="rId17" w:history="1">
        <w:r w:rsidRPr="00504724">
          <w:rPr>
            <w:rStyle w:val="Hyperlink"/>
            <w:sz w:val="22"/>
            <w:szCs w:val="22"/>
          </w:rPr>
          <w:t>http://www.studentaid.ed.gov</w:t>
        </w:r>
      </w:hyperlink>
    </w:p>
    <w:p w14:paraId="687E085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How much will it cost?</w:t>
      </w:r>
    </w:p>
    <w:p w14:paraId="1E0CC630" w14:textId="6E4A4DEE" w:rsidR="00F119D9" w:rsidRPr="00473EBF" w:rsidRDefault="00F119D9" w:rsidP="00473EBF">
      <w:pPr>
        <w:pStyle w:val="p3"/>
        <w:rPr>
          <w:sz w:val="22"/>
          <w:szCs w:val="22"/>
        </w:rPr>
      </w:pPr>
      <w:hyperlink r:id="rId18" w:history="1">
        <w:r w:rsidRPr="00504724">
          <w:rPr>
            <w:rStyle w:val="Hyperlink"/>
            <w:sz w:val="22"/>
            <w:szCs w:val="22"/>
          </w:rPr>
          <w:t>http://nces.ed.gov/ipeds/cool/</w:t>
        </w:r>
      </w:hyperlink>
    </w:p>
    <w:p w14:paraId="72CD494F" w14:textId="18868479" w:rsidR="00473EBF" w:rsidRPr="00F119D9" w:rsidRDefault="00F119D9" w:rsidP="00473EBF">
      <w:pPr>
        <w:pStyle w:val="p3"/>
        <w:rPr>
          <w:sz w:val="22"/>
          <w:szCs w:val="22"/>
        </w:rPr>
      </w:pPr>
      <w:hyperlink r:id="rId19" w:history="1">
        <w:r w:rsidRPr="00504724">
          <w:rPr>
            <w:rStyle w:val="Hyperlink"/>
            <w:sz w:val="22"/>
            <w:szCs w:val="22"/>
          </w:rPr>
          <w:t>http://www.dlssonline.com/tools/search.asp</w:t>
        </w:r>
      </w:hyperlink>
      <w:r w:rsidR="00473EBF" w:rsidRPr="00473EBF">
        <w:rPr>
          <w:rStyle w:val="s4"/>
          <w:rFonts w:eastAsiaTheme="majorEastAsia"/>
          <w:sz w:val="22"/>
          <w:szCs w:val="22"/>
        </w:rPr>
        <w:t xml:space="preserve"> (for Direct Loan Borrowers)</w:t>
      </w:r>
    </w:p>
    <w:p w14:paraId="4882469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Ombudsman Office</w:t>
      </w:r>
    </w:p>
    <w:p w14:paraId="7D54CE55" w14:textId="397C9854" w:rsidR="00F119D9" w:rsidRPr="00473EBF" w:rsidRDefault="00F119D9" w:rsidP="00473EBF">
      <w:pPr>
        <w:pStyle w:val="p3"/>
        <w:rPr>
          <w:sz w:val="22"/>
          <w:szCs w:val="22"/>
        </w:rPr>
      </w:pPr>
      <w:hyperlink r:id="rId20" w:history="1">
        <w:r w:rsidRPr="00504724">
          <w:rPr>
            <w:rStyle w:val="Hyperlink"/>
            <w:sz w:val="22"/>
            <w:szCs w:val="22"/>
          </w:rPr>
          <w:t>https://studentaid.gov/feedback-ombudsman</w:t>
        </w:r>
      </w:hyperlink>
    </w:p>
    <w:p w14:paraId="4046A72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SFA Assessments for Schools</w:t>
      </w:r>
    </w:p>
    <w:p w14:paraId="3EA048A2" w14:textId="3AD19738" w:rsidR="00F119D9" w:rsidRPr="00473EBF" w:rsidRDefault="00F119D9" w:rsidP="00473EBF">
      <w:pPr>
        <w:pStyle w:val="p3"/>
        <w:rPr>
          <w:sz w:val="22"/>
          <w:szCs w:val="22"/>
        </w:rPr>
      </w:pPr>
      <w:hyperlink r:id="rId21" w:history="1">
        <w:r w:rsidRPr="00504724">
          <w:rPr>
            <w:rStyle w:val="Hyperlink"/>
            <w:sz w:val="22"/>
            <w:szCs w:val="22"/>
          </w:rPr>
          <w:t>https://ifap.ed.gov/foreign-school-information</w:t>
        </w:r>
      </w:hyperlink>
    </w:p>
    <w:p w14:paraId="06F8AAB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Mapping Your Future</w:t>
      </w:r>
    </w:p>
    <w:p w14:paraId="25E06D5E" w14:textId="775C9006" w:rsidR="00F119D9" w:rsidRPr="00F119D9" w:rsidRDefault="00F119D9" w:rsidP="00473EBF">
      <w:pPr>
        <w:pStyle w:val="p4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504724">
          <w:rPr>
            <w:rStyle w:val="Hyperlink"/>
            <w:rFonts w:asciiTheme="minorHAnsi" w:hAnsiTheme="minorHAnsi" w:cstheme="minorHAnsi"/>
            <w:sz w:val="22"/>
            <w:szCs w:val="22"/>
          </w:rPr>
          <w:t>https://www.mappingyourfuture.org/</w:t>
        </w:r>
      </w:hyperlink>
    </w:p>
    <w:p w14:paraId="3B9DC8D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Jump Start Coalition for Personal Financial Literacy</w:t>
      </w:r>
    </w:p>
    <w:p w14:paraId="6A242E0A" w14:textId="090736F6" w:rsidR="00F119D9" w:rsidRPr="00473EBF" w:rsidRDefault="00F119D9" w:rsidP="00473EBF">
      <w:pPr>
        <w:pStyle w:val="p3"/>
        <w:rPr>
          <w:sz w:val="22"/>
          <w:szCs w:val="22"/>
        </w:rPr>
      </w:pPr>
      <w:hyperlink r:id="rId23" w:history="1">
        <w:r w:rsidRPr="00504724">
          <w:rPr>
            <w:rStyle w:val="Hyperlink"/>
            <w:sz w:val="22"/>
            <w:szCs w:val="22"/>
          </w:rPr>
          <w:t>http://www.jumpstart.org</w:t>
        </w:r>
      </w:hyperlink>
    </w:p>
    <w:p w14:paraId="09E216EF" w14:textId="77777777" w:rsidR="00396B98" w:rsidRDefault="00396B98" w:rsidP="00473EBF">
      <w:pPr>
        <w:pStyle w:val="p2"/>
        <w:rPr>
          <w:sz w:val="22"/>
          <w:szCs w:val="22"/>
        </w:rPr>
      </w:pPr>
    </w:p>
    <w:p w14:paraId="35E1370B" w14:textId="4E21CF5C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 xml:space="preserve">The office of </w:t>
      </w:r>
      <w:hyperlink r:id="rId24" w:history="1">
        <w:r w:rsidRPr="00F119D9">
          <w:rPr>
            <w:rStyle w:val="Hyperlink"/>
            <w:sz w:val="22"/>
            <w:szCs w:val="22"/>
          </w:rPr>
          <w:t>Federal Student Aid</w:t>
        </w:r>
      </w:hyperlink>
      <w:r w:rsidRPr="00473EBF">
        <w:rPr>
          <w:sz w:val="22"/>
          <w:szCs w:val="22"/>
        </w:rPr>
        <w:t xml:space="preserve"> provides publications, fact sheets, online tools, and other</w:t>
      </w:r>
    </w:p>
    <w:p w14:paraId="1C096B41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resources to help you prepare and pay for college or career school.</w:t>
      </w:r>
    </w:p>
    <w:p w14:paraId="46B28E67" w14:textId="77777777" w:rsidR="00396B98" w:rsidRDefault="00396B98" w:rsidP="00473EBF">
      <w:pPr>
        <w:pStyle w:val="p3"/>
        <w:rPr>
          <w:sz w:val="22"/>
          <w:szCs w:val="22"/>
        </w:rPr>
      </w:pPr>
    </w:p>
    <w:p w14:paraId="2C0FF5FA" w14:textId="238AD180" w:rsidR="00F119D9" w:rsidRPr="00473EBF" w:rsidRDefault="00F119D9" w:rsidP="00473EBF">
      <w:pPr>
        <w:pStyle w:val="p3"/>
        <w:rPr>
          <w:sz w:val="22"/>
          <w:szCs w:val="22"/>
        </w:rPr>
      </w:pPr>
      <w:hyperlink r:id="rId25" w:history="1">
        <w:r w:rsidRPr="00504724">
          <w:rPr>
            <w:rStyle w:val="Hyperlink"/>
            <w:sz w:val="22"/>
            <w:szCs w:val="22"/>
          </w:rPr>
          <w:t>https://studentaid.gov/resources</w:t>
        </w:r>
      </w:hyperlink>
    </w:p>
    <w:p w14:paraId="6E127A75" w14:textId="77777777" w:rsidR="00396B98" w:rsidRDefault="00396B98" w:rsidP="00473EBF">
      <w:pPr>
        <w:pStyle w:val="p2"/>
        <w:rPr>
          <w:sz w:val="22"/>
          <w:szCs w:val="22"/>
        </w:rPr>
      </w:pPr>
    </w:p>
    <w:p w14:paraId="1369F3A4" w14:textId="4B0DDE35" w:rsidR="00473EBF" w:rsidRPr="00473EBF" w:rsidRDefault="00473EBF" w:rsidP="00396B98">
      <w:pPr>
        <w:pStyle w:val="Heading5"/>
      </w:pPr>
      <w:r w:rsidRPr="00473EBF">
        <w:t>Enrollment Reporting and Data Accuracy</w:t>
      </w:r>
    </w:p>
    <w:p w14:paraId="62B4A79A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Enrollment Reporting Guide, formerly SSCR User’s Guide</w:t>
      </w:r>
    </w:p>
    <w:p w14:paraId="144F9464" w14:textId="4BFC6F28" w:rsidR="00F119D9" w:rsidRPr="00473EBF" w:rsidRDefault="00F119D9" w:rsidP="00473EBF">
      <w:pPr>
        <w:pStyle w:val="p3"/>
        <w:rPr>
          <w:sz w:val="22"/>
          <w:szCs w:val="22"/>
        </w:rPr>
      </w:pPr>
      <w:hyperlink r:id="rId26" w:history="1">
        <w:r w:rsidRPr="00504724">
          <w:rPr>
            <w:rStyle w:val="Hyperlink"/>
            <w:sz w:val="22"/>
            <w:szCs w:val="22"/>
          </w:rPr>
          <w:t>https://nsldsfap.ed.gov/nslds_FAP/</w:t>
        </w:r>
      </w:hyperlink>
    </w:p>
    <w:p w14:paraId="48B5789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Date Entered Repayment Report, School Repayment Information Loan Detail Report,</w:t>
      </w:r>
    </w:p>
    <w:p w14:paraId="74DFC70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and Enrollment Reporting Summary Report</w:t>
      </w:r>
    </w:p>
    <w:p w14:paraId="0282E2EC" w14:textId="3B255CFC" w:rsidR="00F119D9" w:rsidRPr="00473EBF" w:rsidRDefault="00F119D9" w:rsidP="00473EBF">
      <w:pPr>
        <w:pStyle w:val="p3"/>
        <w:rPr>
          <w:sz w:val="22"/>
          <w:szCs w:val="22"/>
        </w:rPr>
      </w:pPr>
      <w:hyperlink r:id="rId27" w:history="1">
        <w:r w:rsidRPr="00504724">
          <w:rPr>
            <w:rStyle w:val="Hyperlink"/>
            <w:sz w:val="22"/>
            <w:szCs w:val="22"/>
          </w:rPr>
          <w:t>https://nsldsfap.ed.gov/nslds_FAP/</w:t>
        </w:r>
      </w:hyperlink>
    </w:p>
    <w:p w14:paraId="6290DF0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Reports, requesting and formatting questions</w:t>
      </w:r>
    </w:p>
    <w:p w14:paraId="6ACA3C48" w14:textId="2A314D74" w:rsidR="00473EBF" w:rsidRPr="00473EBF" w:rsidRDefault="00F119D9" w:rsidP="00473EBF">
      <w:pPr>
        <w:pStyle w:val="p3"/>
        <w:rPr>
          <w:sz w:val="22"/>
          <w:szCs w:val="22"/>
        </w:rPr>
      </w:pPr>
      <w:hyperlink r:id="rId28" w:history="1">
        <w:r w:rsidRPr="00504724">
          <w:rPr>
            <w:rStyle w:val="Hyperlink"/>
            <w:sz w:val="22"/>
            <w:szCs w:val="22"/>
          </w:rPr>
          <w:t>https://nsldsfap.ed.gov/nslds_FAP/</w:t>
        </w:r>
      </w:hyperlink>
      <w:r w:rsidR="00473EBF" w:rsidRPr="00473EBF">
        <w:rPr>
          <w:rStyle w:val="s4"/>
          <w:rFonts w:eastAsiaTheme="majorEastAsia"/>
          <w:sz w:val="22"/>
          <w:szCs w:val="22"/>
        </w:rPr>
        <w:t xml:space="preserve"> Reports Tab</w:t>
      </w:r>
    </w:p>
    <w:p w14:paraId="6B777D55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User ID</w:t>
      </w:r>
    </w:p>
    <w:p w14:paraId="6210045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CPS/WAN Technical Support 1-800-330-5947</w:t>
      </w:r>
    </w:p>
    <w:p w14:paraId="1B843F9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Customer Support 1-800-999-8219</w:t>
      </w:r>
    </w:p>
    <w:p w14:paraId="563092B0" w14:textId="77777777" w:rsidR="00396B98" w:rsidRDefault="00396B98" w:rsidP="00473EBF">
      <w:pPr>
        <w:pStyle w:val="p2"/>
        <w:rPr>
          <w:sz w:val="22"/>
          <w:szCs w:val="22"/>
        </w:rPr>
      </w:pPr>
    </w:p>
    <w:p w14:paraId="3B87B16F" w14:textId="08CDB1F4" w:rsidR="00473EBF" w:rsidRPr="00473EBF" w:rsidRDefault="00473EBF" w:rsidP="00396B98">
      <w:pPr>
        <w:pStyle w:val="Heading5"/>
      </w:pPr>
      <w:r w:rsidRPr="00473EBF">
        <w:lastRenderedPageBreak/>
        <w:t>Default Prevention</w:t>
      </w:r>
    </w:p>
    <w:p w14:paraId="5FAED0A8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FSA Assessments</w:t>
      </w:r>
    </w:p>
    <w:p w14:paraId="6F1A931E" w14:textId="2C5012A7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29" w:history="1">
        <w:r w:rsidR="00F119D9" w:rsidRPr="00504724">
          <w:rPr>
            <w:rStyle w:val="Hyperlink"/>
            <w:sz w:val="22"/>
            <w:szCs w:val="22"/>
          </w:rPr>
          <w:t>https://ifap.ed.gov/foreign-school-information</w:t>
        </w:r>
      </w:hyperlink>
    </w:p>
    <w:p w14:paraId="7C6BDDEA" w14:textId="77777777" w:rsidR="00473EBF" w:rsidRPr="00F119D9" w:rsidRDefault="00473EBF" w:rsidP="00473EBF">
      <w:pPr>
        <w:pStyle w:val="p2"/>
        <w:rPr>
          <w:sz w:val="22"/>
          <w:szCs w:val="22"/>
        </w:rPr>
      </w:pPr>
      <w:r w:rsidRPr="00F119D9">
        <w:rPr>
          <w:sz w:val="22"/>
          <w:szCs w:val="22"/>
        </w:rPr>
        <w:t>Ensuring Student Loan Repayment Best Practices</w:t>
      </w:r>
    </w:p>
    <w:p w14:paraId="53BCD245" w14:textId="12FE004B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0" w:history="1">
        <w:r w:rsidR="00F119D9" w:rsidRPr="00504724">
          <w:rPr>
            <w:rStyle w:val="Hyperlink"/>
            <w:sz w:val="22"/>
            <w:szCs w:val="22"/>
          </w:rPr>
          <w:t>https://ifap.ed.gov/electronic-announcements/01-18-2001-ensuring-student-loan-repayment</w:t>
        </w:r>
      </w:hyperlink>
    </w:p>
    <w:p w14:paraId="0B242193" w14:textId="77777777" w:rsidR="00396B98" w:rsidRDefault="00473EBF" w:rsidP="00473EBF">
      <w:pPr>
        <w:pStyle w:val="p3"/>
        <w:rPr>
          <w:rStyle w:val="s4"/>
          <w:rFonts w:eastAsiaTheme="majorEastAsia"/>
          <w:sz w:val="22"/>
          <w:szCs w:val="22"/>
        </w:rPr>
      </w:pPr>
      <w:r w:rsidRPr="00473EBF">
        <w:rPr>
          <w:rStyle w:val="s4"/>
          <w:rFonts w:eastAsiaTheme="majorEastAsia"/>
          <w:sz w:val="22"/>
          <w:szCs w:val="22"/>
        </w:rPr>
        <w:t>NSLDS Reports and Exit Counseling</w:t>
      </w:r>
    </w:p>
    <w:p w14:paraId="031A6BE3" w14:textId="02A6BC95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1" w:history="1">
        <w:r w:rsidR="00F119D9" w:rsidRPr="00504724">
          <w:rPr>
            <w:rStyle w:val="Hyperlink"/>
            <w:sz w:val="22"/>
            <w:szCs w:val="22"/>
          </w:rPr>
          <w:t>https://nsldsfap.ed.gov/nslds_FAP/</w:t>
        </w:r>
      </w:hyperlink>
    </w:p>
    <w:p w14:paraId="7A652B87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Reports, requesting and formatting questions</w:t>
      </w:r>
    </w:p>
    <w:p w14:paraId="1643DCCC" w14:textId="59AEBCF8" w:rsidR="00473EBF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2" w:history="1">
        <w:r w:rsidR="00F119D9" w:rsidRPr="00504724">
          <w:rPr>
            <w:rStyle w:val="Hyperlink"/>
            <w:sz w:val="22"/>
            <w:szCs w:val="22"/>
          </w:rPr>
          <w:t>https://nsldsfap.ed.gov/nslds_FAP/</w:t>
        </w:r>
      </w:hyperlink>
      <w:r w:rsidR="00473EBF" w:rsidRPr="00473EBF">
        <w:rPr>
          <w:rStyle w:val="s4"/>
          <w:rFonts w:eastAsiaTheme="majorEastAsia"/>
          <w:sz w:val="22"/>
          <w:szCs w:val="22"/>
        </w:rPr>
        <w:t xml:space="preserve"> Reports Tab</w:t>
      </w:r>
    </w:p>
    <w:p w14:paraId="447A303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 User ID</w:t>
      </w:r>
    </w:p>
    <w:p w14:paraId="1E995B7F" w14:textId="71D6497E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CPS/WAN Technical Support 1-800-330-5947</w:t>
      </w:r>
    </w:p>
    <w:p w14:paraId="7C57C79D" w14:textId="3E204D42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NSLDS Customer Support 1-800-999-8219</w:t>
      </w:r>
    </w:p>
    <w:p w14:paraId="4E91BFE1" w14:textId="77777777" w:rsidR="00473EBF" w:rsidRPr="00396B98" w:rsidRDefault="00473EBF" w:rsidP="00473EBF">
      <w:pPr>
        <w:pStyle w:val="p2"/>
        <w:rPr>
          <w:i/>
          <w:iCs/>
          <w:sz w:val="22"/>
          <w:szCs w:val="22"/>
        </w:rPr>
      </w:pPr>
      <w:proofErr w:type="gramStart"/>
      <w:r w:rsidRPr="00396B98">
        <w:rPr>
          <w:i/>
          <w:iCs/>
          <w:sz w:val="22"/>
          <w:szCs w:val="22"/>
        </w:rPr>
        <w:t>Late Stage</w:t>
      </w:r>
      <w:proofErr w:type="gramEnd"/>
      <w:r w:rsidRPr="00396B98">
        <w:rPr>
          <w:i/>
          <w:iCs/>
          <w:sz w:val="22"/>
          <w:szCs w:val="22"/>
        </w:rPr>
        <w:t xml:space="preserve"> Delinquency Assistance (LSDA) Guide:</w:t>
      </w:r>
    </w:p>
    <w:p w14:paraId="487AFF84" w14:textId="3146C56B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For Direct Loan Schools,</w:t>
      </w:r>
    </w:p>
    <w:p w14:paraId="31A9508F" w14:textId="254E6BAB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Direct Loan Servicing/Schools website, accessed via COD website</w:t>
      </w:r>
    </w:p>
    <w:p w14:paraId="49E9E08F" w14:textId="75FD060C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3" w:history="1">
        <w:r w:rsidR="00F119D9" w:rsidRPr="00504724">
          <w:rPr>
            <w:rStyle w:val="Hyperlink"/>
            <w:sz w:val="22"/>
            <w:szCs w:val="22"/>
          </w:rPr>
          <w:t>https://cod.ed.gov/cod/LoginPage</w:t>
        </w:r>
      </w:hyperlink>
    </w:p>
    <w:p w14:paraId="37296018" w14:textId="63A1B74C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For FFEL Schools,</w:t>
      </w:r>
    </w:p>
    <w:p w14:paraId="49585B66" w14:textId="40190865" w:rsidR="00473EBF" w:rsidRPr="00473EBF" w:rsidRDefault="00396B98" w:rsidP="00473EBF">
      <w:pPr>
        <w:pStyle w:val="p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3EBF" w:rsidRPr="00473EBF">
        <w:rPr>
          <w:sz w:val="22"/>
          <w:szCs w:val="22"/>
        </w:rPr>
        <w:t>Default Prevention Strategies</w:t>
      </w:r>
    </w:p>
    <w:p w14:paraId="5DB73A5C" w14:textId="1083A2E0" w:rsidR="00473EBF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4" w:history="1">
        <w:r w:rsidR="00F119D9" w:rsidRPr="00504724">
          <w:rPr>
            <w:rStyle w:val="Hyperlink"/>
            <w:sz w:val="22"/>
            <w:szCs w:val="22"/>
          </w:rPr>
          <w:t>https://ifap.ed.gov/foreign-school-information</w:t>
        </w:r>
      </w:hyperlink>
      <w:r w:rsidR="00473EBF" w:rsidRPr="00473EBF">
        <w:rPr>
          <w:rStyle w:val="s4"/>
          <w:rFonts w:eastAsiaTheme="majorEastAsia"/>
          <w:sz w:val="22"/>
          <w:szCs w:val="22"/>
        </w:rPr>
        <w:t xml:space="preserve"> or contact your guaranty agency</w:t>
      </w:r>
    </w:p>
    <w:p w14:paraId="1E9B5CDF" w14:textId="77777777" w:rsidR="00396B98" w:rsidRDefault="00396B98" w:rsidP="00473EBF">
      <w:pPr>
        <w:pStyle w:val="p2"/>
        <w:rPr>
          <w:sz w:val="22"/>
          <w:szCs w:val="22"/>
        </w:rPr>
      </w:pPr>
    </w:p>
    <w:p w14:paraId="5946C140" w14:textId="3D486D71" w:rsidR="00473EBF" w:rsidRPr="00473EBF" w:rsidRDefault="00473EBF" w:rsidP="00396B98">
      <w:pPr>
        <w:pStyle w:val="Heading5"/>
      </w:pPr>
      <w:r w:rsidRPr="00473EBF">
        <w:t>General Connections/Publications</w:t>
      </w:r>
    </w:p>
    <w:p w14:paraId="0A70885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Information for Financial aid Professionals (IFAP) Library with publications, training, tools,</w:t>
      </w:r>
    </w:p>
    <w:p w14:paraId="1A2A83FD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references, laws, etc.</w:t>
      </w:r>
    </w:p>
    <w:p w14:paraId="0F8BAA24" w14:textId="03CE4B57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5" w:history="1">
        <w:r w:rsidR="00F119D9" w:rsidRPr="00504724">
          <w:rPr>
            <w:rStyle w:val="Hyperlink"/>
            <w:sz w:val="22"/>
            <w:szCs w:val="22"/>
          </w:rPr>
          <w:t>http://www.ifap.ed.gov</w:t>
        </w:r>
      </w:hyperlink>
    </w:p>
    <w:p w14:paraId="2C62DA70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Office of Federal Student Aid</w:t>
      </w:r>
    </w:p>
    <w:p w14:paraId="3C9DD9B2" w14:textId="3C99DB90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6" w:history="1">
        <w:r w:rsidR="00F119D9" w:rsidRPr="00504724">
          <w:rPr>
            <w:rStyle w:val="Hyperlink"/>
            <w:sz w:val="22"/>
            <w:szCs w:val="22"/>
          </w:rPr>
          <w:t>https://www.ed.gov/</w:t>
        </w:r>
      </w:hyperlink>
    </w:p>
    <w:p w14:paraId="53CB245F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The Student Guide</w:t>
      </w:r>
    </w:p>
    <w:p w14:paraId="3B487AE5" w14:textId="6667F73C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7" w:history="1">
        <w:r w:rsidR="00F119D9" w:rsidRPr="00504724">
          <w:rPr>
            <w:rStyle w:val="Hyperlink"/>
            <w:sz w:val="22"/>
            <w:szCs w:val="22"/>
          </w:rPr>
          <w:t>http://www.studentaid.ed.gov</w:t>
        </w:r>
      </w:hyperlink>
    </w:p>
    <w:p w14:paraId="1B1A3B6B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NSLDS</w:t>
      </w:r>
    </w:p>
    <w:p w14:paraId="642BC906" w14:textId="0E735FCF" w:rsidR="00F119D9" w:rsidRPr="00473EBF" w:rsidRDefault="00396B98" w:rsidP="00473EBF">
      <w:pPr>
        <w:pStyle w:val="p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hyperlink r:id="rId38" w:history="1">
        <w:r w:rsidR="00F119D9" w:rsidRPr="00504724">
          <w:rPr>
            <w:rStyle w:val="Hyperlink"/>
            <w:sz w:val="22"/>
            <w:szCs w:val="22"/>
          </w:rPr>
          <w:t>https://nsldsfap.ed.gov/nslds_FAP/</w:t>
        </w:r>
      </w:hyperlink>
    </w:p>
    <w:p w14:paraId="65F8203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ED Pubs, the Department of Education Online Publication Ordering System, helps you identify</w:t>
      </w:r>
    </w:p>
    <w:p w14:paraId="7AF861F3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and order free publications from the Department. Examples of resources available at ED Pubs</w:t>
      </w:r>
    </w:p>
    <w:p w14:paraId="25D2992C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include the following:</w:t>
      </w:r>
    </w:p>
    <w:p w14:paraId="1B4AE40F" w14:textId="5508F1EE" w:rsidR="00473EBF" w:rsidRPr="00396B98" w:rsidRDefault="00473EBF" w:rsidP="00396B98">
      <w:pPr>
        <w:pStyle w:val="p2"/>
        <w:numPr>
          <w:ilvl w:val="0"/>
          <w:numId w:val="13"/>
        </w:numPr>
        <w:rPr>
          <w:i/>
          <w:iCs/>
          <w:sz w:val="22"/>
          <w:szCs w:val="22"/>
        </w:rPr>
      </w:pPr>
      <w:r w:rsidRPr="00396B98">
        <w:rPr>
          <w:i/>
          <w:iCs/>
          <w:sz w:val="22"/>
          <w:szCs w:val="22"/>
        </w:rPr>
        <w:t>Repaying Your Student Loans (in English and Spanish)</w:t>
      </w:r>
    </w:p>
    <w:p w14:paraId="231BDA55" w14:textId="533612A6" w:rsidR="00473EBF" w:rsidRPr="00396B98" w:rsidRDefault="00473EBF" w:rsidP="00396B98">
      <w:pPr>
        <w:pStyle w:val="p2"/>
        <w:numPr>
          <w:ilvl w:val="0"/>
          <w:numId w:val="13"/>
        </w:numPr>
        <w:rPr>
          <w:i/>
          <w:iCs/>
          <w:sz w:val="22"/>
          <w:szCs w:val="22"/>
        </w:rPr>
      </w:pPr>
      <w:r w:rsidRPr="00396B98">
        <w:rPr>
          <w:i/>
          <w:iCs/>
          <w:sz w:val="22"/>
          <w:szCs w:val="22"/>
        </w:rPr>
        <w:t>The Student Guide</w:t>
      </w:r>
    </w:p>
    <w:p w14:paraId="7E93C245" w14:textId="5C764651" w:rsidR="00473EBF" w:rsidRPr="00396B98" w:rsidRDefault="00473EBF" w:rsidP="00396B98">
      <w:pPr>
        <w:pStyle w:val="p2"/>
        <w:numPr>
          <w:ilvl w:val="0"/>
          <w:numId w:val="13"/>
        </w:numPr>
        <w:rPr>
          <w:i/>
          <w:iCs/>
          <w:sz w:val="22"/>
          <w:szCs w:val="22"/>
        </w:rPr>
      </w:pPr>
      <w:r w:rsidRPr="00396B98">
        <w:rPr>
          <w:i/>
          <w:iCs/>
          <w:sz w:val="22"/>
          <w:szCs w:val="22"/>
        </w:rPr>
        <w:t>Getting Ready to Pay for College</w:t>
      </w:r>
    </w:p>
    <w:p w14:paraId="0590D7A4" w14:textId="40746D5D" w:rsidR="00473EBF" w:rsidRPr="00396B98" w:rsidRDefault="00473EBF" w:rsidP="00396B98">
      <w:pPr>
        <w:pStyle w:val="p2"/>
        <w:numPr>
          <w:ilvl w:val="0"/>
          <w:numId w:val="13"/>
        </w:numPr>
        <w:rPr>
          <w:i/>
          <w:iCs/>
          <w:sz w:val="22"/>
          <w:szCs w:val="22"/>
        </w:rPr>
      </w:pPr>
      <w:r w:rsidRPr="00396B98">
        <w:rPr>
          <w:i/>
          <w:iCs/>
          <w:sz w:val="22"/>
          <w:szCs w:val="22"/>
        </w:rPr>
        <w:t>Counselors and Mentors Handbook</w:t>
      </w:r>
    </w:p>
    <w:p w14:paraId="774297AB" w14:textId="3E3BFB74" w:rsidR="00F119D9" w:rsidRPr="00473EBF" w:rsidRDefault="00F119D9" w:rsidP="00473EBF">
      <w:pPr>
        <w:pStyle w:val="p3"/>
        <w:rPr>
          <w:sz w:val="22"/>
          <w:szCs w:val="22"/>
        </w:rPr>
      </w:pPr>
      <w:hyperlink r:id="rId39" w:history="1">
        <w:r w:rsidRPr="00504724">
          <w:rPr>
            <w:rStyle w:val="Hyperlink"/>
            <w:sz w:val="22"/>
            <w:szCs w:val="22"/>
          </w:rPr>
          <w:t>https://orders.gpo.gov/EDU/EDUPubs.aspx</w:t>
        </w:r>
      </w:hyperlink>
    </w:p>
    <w:p w14:paraId="37E4F5C2" w14:textId="6FC00E51" w:rsidR="00473EBF" w:rsidRPr="00473EBF" w:rsidRDefault="00473EBF" w:rsidP="00473EBF">
      <w:pPr>
        <w:pStyle w:val="p3"/>
        <w:rPr>
          <w:sz w:val="22"/>
          <w:szCs w:val="22"/>
        </w:rPr>
      </w:pPr>
      <w:r w:rsidRPr="00473EBF">
        <w:rPr>
          <w:rStyle w:val="s6"/>
          <w:rFonts w:eastAsiaTheme="majorEastAsia"/>
          <w:sz w:val="22"/>
          <w:szCs w:val="22"/>
        </w:rPr>
        <w:t>1-877-433-7827</w:t>
      </w:r>
      <w:r w:rsidRPr="00473EBF">
        <w:rPr>
          <w:rStyle w:val="s4"/>
          <w:rFonts w:eastAsiaTheme="majorEastAsia"/>
          <w:sz w:val="22"/>
          <w:szCs w:val="22"/>
        </w:rPr>
        <w:t xml:space="preserve"> or </w:t>
      </w:r>
      <w:hyperlink r:id="rId40" w:history="1">
        <w:r w:rsidRPr="00F119D9">
          <w:rPr>
            <w:rStyle w:val="Hyperlink"/>
            <w:sz w:val="22"/>
            <w:szCs w:val="22"/>
          </w:rPr>
          <w:t>customerservice.edpubs@gpo.gov</w:t>
        </w:r>
      </w:hyperlink>
      <w:r w:rsidRPr="00473EBF">
        <w:rPr>
          <w:rStyle w:val="s4"/>
          <w:rFonts w:eastAsiaTheme="majorEastAsia"/>
          <w:sz w:val="22"/>
          <w:szCs w:val="22"/>
        </w:rPr>
        <w:t xml:space="preserve"> (preferred)</w:t>
      </w:r>
    </w:p>
    <w:p w14:paraId="3A2E2B4D" w14:textId="77777777" w:rsidR="00396B98" w:rsidRDefault="00396B98" w:rsidP="00473EBF">
      <w:pPr>
        <w:pStyle w:val="p2"/>
        <w:rPr>
          <w:sz w:val="22"/>
          <w:szCs w:val="22"/>
        </w:rPr>
      </w:pPr>
    </w:p>
    <w:p w14:paraId="65B4DB2E" w14:textId="1BB998F8" w:rsidR="00473EBF" w:rsidRPr="00473EBF" w:rsidRDefault="00473EBF" w:rsidP="00396B98">
      <w:pPr>
        <w:pStyle w:val="Heading5"/>
      </w:pPr>
      <w:r w:rsidRPr="00473EBF">
        <w:t>U.S. Department of Education Default Prevention and Management Team</w:t>
      </w:r>
    </w:p>
    <w:p w14:paraId="66496D64" w14:textId="77777777" w:rsidR="00473EBF" w:rsidRPr="00473EBF" w:rsidRDefault="00473EBF" w:rsidP="00473EBF">
      <w:pPr>
        <w:pStyle w:val="p2"/>
        <w:rPr>
          <w:sz w:val="22"/>
          <w:szCs w:val="22"/>
        </w:rPr>
      </w:pPr>
      <w:r w:rsidRPr="00473EBF">
        <w:rPr>
          <w:sz w:val="22"/>
          <w:szCs w:val="22"/>
        </w:rPr>
        <w:t>If you require any assistance creating a default prevention and management plan at your</w:t>
      </w:r>
    </w:p>
    <w:p w14:paraId="29F694EF" w14:textId="42F11989" w:rsidR="00473EBF" w:rsidRPr="00F119D9" w:rsidRDefault="00473EBF" w:rsidP="00473EBF">
      <w:pPr>
        <w:pStyle w:val="p2"/>
        <w:rPr>
          <w:rStyle w:val="Hyperlink"/>
          <w:sz w:val="22"/>
          <w:szCs w:val="22"/>
        </w:rPr>
      </w:pPr>
      <w:r w:rsidRPr="00473EBF">
        <w:rPr>
          <w:sz w:val="22"/>
          <w:szCs w:val="22"/>
        </w:rPr>
        <w:t>school, or to discuss any part of this document, please visit:</w:t>
      </w:r>
      <w:r w:rsidR="00F119D9">
        <w:rPr>
          <w:sz w:val="22"/>
          <w:szCs w:val="22"/>
        </w:rPr>
        <w:fldChar w:fldCharType="begin"/>
      </w:r>
      <w:r w:rsidR="00F119D9">
        <w:rPr>
          <w:sz w:val="22"/>
          <w:szCs w:val="22"/>
        </w:rPr>
        <w:instrText>HYPERLINK "https://ifap.ed.gov/default-prevention-resource-information"</w:instrText>
      </w:r>
      <w:r w:rsidR="00F119D9">
        <w:rPr>
          <w:sz w:val="22"/>
          <w:szCs w:val="22"/>
        </w:rPr>
      </w:r>
      <w:r w:rsidR="00F119D9">
        <w:rPr>
          <w:sz w:val="22"/>
          <w:szCs w:val="22"/>
        </w:rPr>
        <w:fldChar w:fldCharType="separate"/>
      </w:r>
      <w:r w:rsidRPr="00F119D9">
        <w:rPr>
          <w:rStyle w:val="Hyperlink"/>
          <w:sz w:val="22"/>
          <w:szCs w:val="22"/>
        </w:rPr>
        <w:t xml:space="preserve"> https://ifap.ed.gov/default-</w:t>
      </w:r>
    </w:p>
    <w:p w14:paraId="719FA1C9" w14:textId="0F1C495D" w:rsidR="00F119D9" w:rsidRPr="00473EBF" w:rsidRDefault="00473EBF" w:rsidP="00473EBF">
      <w:pPr>
        <w:pStyle w:val="p3"/>
        <w:rPr>
          <w:sz w:val="22"/>
          <w:szCs w:val="22"/>
        </w:rPr>
      </w:pPr>
      <w:r w:rsidRPr="00F119D9">
        <w:rPr>
          <w:rStyle w:val="Hyperlink"/>
          <w:sz w:val="22"/>
          <w:szCs w:val="22"/>
        </w:rPr>
        <w:t>prevention-resource-information</w:t>
      </w:r>
      <w:r w:rsidR="00F119D9">
        <w:rPr>
          <w:color w:val="000000"/>
          <w:sz w:val="22"/>
          <w:szCs w:val="22"/>
        </w:rPr>
        <w:fldChar w:fldCharType="end"/>
      </w:r>
    </w:p>
    <w:p w14:paraId="4ACE7096" w14:textId="21936E76" w:rsidR="00A10471" w:rsidRPr="003358C8" w:rsidRDefault="00A10471" w:rsidP="003358C8">
      <w:pPr>
        <w:spacing w:after="160" w:line="278" w:lineRule="auto"/>
        <w:rPr>
          <w:rFonts w:ascii="Arial" w:eastAsia="Arial" w:hAnsi="Arial" w:cs="Times New Roman"/>
          <w:sz w:val="22"/>
          <w:szCs w:val="22"/>
        </w:rPr>
      </w:pPr>
    </w:p>
    <w:sectPr w:rsidR="00A10471" w:rsidRPr="003358C8" w:rsidSect="003E721B">
      <w:type w:val="continuous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E3D9" w14:textId="77777777" w:rsidR="00CD6849" w:rsidRDefault="00CD6849" w:rsidP="00097CC5">
      <w:r>
        <w:separator/>
      </w:r>
    </w:p>
    <w:p w14:paraId="3E41E2DC" w14:textId="77777777" w:rsidR="00CD6849" w:rsidRDefault="00CD6849" w:rsidP="00097CC5"/>
  </w:endnote>
  <w:endnote w:type="continuationSeparator" w:id="0">
    <w:p w14:paraId="6A0219AD" w14:textId="77777777" w:rsidR="00CD6849" w:rsidRDefault="00CD6849" w:rsidP="00097CC5">
      <w:r>
        <w:continuationSeparator/>
      </w:r>
    </w:p>
    <w:p w14:paraId="6D9FEBA5" w14:textId="77777777" w:rsidR="00CD6849" w:rsidRDefault="00CD6849" w:rsidP="0009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72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Hlk166187035" w:displacedByCustomXml="prev"/>
          <w:bookmarkStart w:id="1" w:name="_Hlk166187034" w:displacedByCustomXml="prev"/>
          <w:bookmarkStart w:id="2" w:name="_Hlk166187033" w:displacedByCustomXml="prev"/>
          <w:bookmarkStart w:id="3" w:name="_Hlk166187032" w:displacedByCustomXml="prev"/>
          <w:p w14:paraId="6177D65C" w14:textId="77777777" w:rsidR="00C1130F" w:rsidRPr="00C1130F" w:rsidRDefault="00C1130F" w:rsidP="00097CC5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530A2" wp14:editId="5D777F9B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1816905419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4566B5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4C674575" wp14:editId="30E085C7">
                  <wp:extent cx="722625" cy="488698"/>
                  <wp:effectExtent l="0" t="0" r="1905" b="0"/>
                  <wp:docPr id="1342664287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  <w:bookmarkEnd w:id="2"/>
            <w:bookmarkEnd w:id="1"/>
            <w:bookmarkEnd w:id="0"/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 w:rsidRPr="00C1130F">
              <w:rPr>
                <w:noProof/>
              </w:rPr>
              <w:t>2</w:t>
            </w:r>
            <w:r w:rsidRPr="00C1130F">
              <w:fldChar w:fldCharType="end"/>
            </w:r>
            <w:r w:rsidRPr="00C1130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C1130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836527"/>
      <w:docPartObj>
        <w:docPartGallery w:val="Page Numbers (Bottom of Page)"/>
        <w:docPartUnique/>
      </w:docPartObj>
    </w:sdtPr>
    <w:sdtContent>
      <w:sdt>
        <w:sdtPr>
          <w:id w:val="-1600632123"/>
          <w:docPartObj>
            <w:docPartGallery w:val="Page Numbers (Top of Page)"/>
            <w:docPartUnique/>
          </w:docPartObj>
        </w:sdtPr>
        <w:sdtContent>
          <w:p w14:paraId="162CE96C" w14:textId="77777777" w:rsidR="00DA7232" w:rsidRPr="00DA7232" w:rsidRDefault="00DA7232" w:rsidP="00DA7232">
            <w:pPr>
              <w:rPr>
                <w:rFonts w:ascii="Arial" w:eastAsia="Arial" w:hAnsi="Arial" w:cs="Times New Roman"/>
              </w:rPr>
            </w:pPr>
            <w:r w:rsidRPr="00C1130F">
              <w:rPr>
                <w:rFonts w:ascii="Arial" w:eastAsia="Arial" w:hAnsi="Arial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8E8D4" wp14:editId="2988D613">
                      <wp:simplePos x="0" y="0"/>
                      <wp:positionH relativeFrom="margin">
                        <wp:posOffset>872836</wp:posOffset>
                      </wp:positionH>
                      <wp:positionV relativeFrom="paragraph">
                        <wp:posOffset>173124</wp:posOffset>
                      </wp:positionV>
                      <wp:extent cx="5012575" cy="0"/>
                      <wp:effectExtent l="0" t="0" r="17145" b="12700"/>
                      <wp:wrapNone/>
                      <wp:docPr id="411020256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2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9596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3F348E" id="Straight Connector 3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8.75pt,13.65pt" to="463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" strokecolor="#495965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1130F">
              <w:rPr>
                <w:rFonts w:ascii="Arial" w:eastAsia="Arial" w:hAnsi="Arial" w:cs="Times New Roman"/>
                <w:noProof/>
              </w:rPr>
              <w:drawing>
                <wp:inline distT="0" distB="0" distL="0" distR="0" wp14:anchorId="01894E34" wp14:editId="0B89D651">
                  <wp:extent cx="722625" cy="488698"/>
                  <wp:effectExtent l="0" t="0" r="1905" b="0"/>
                  <wp:docPr id="706460843" name="Graphic 2" descr="Brighter Worl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93359" name="Graphic 2" descr="Brighter World Logo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563" cy="53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ptab w:relativeTo="margin" w:alignment="right" w:leader="none"/>
            </w:r>
            <w:r w:rsidRPr="00C1130F">
              <w:t xml:space="preserve">Page </w:t>
            </w:r>
            <w:r w:rsidRPr="00C1130F">
              <w:fldChar w:fldCharType="begin"/>
            </w:r>
            <w:r w:rsidRPr="00C1130F">
              <w:instrText xml:space="preserve"> PAGE </w:instrText>
            </w:r>
            <w:r w:rsidRPr="00C1130F">
              <w:fldChar w:fldCharType="separate"/>
            </w:r>
            <w:r>
              <w:t>2</w:t>
            </w:r>
            <w:r w:rsidRPr="00C1130F">
              <w:fldChar w:fldCharType="end"/>
            </w:r>
            <w:r w:rsidRPr="00C1130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B301" w14:textId="77777777" w:rsidR="00CD6849" w:rsidRDefault="00CD6849" w:rsidP="00097CC5">
      <w:r>
        <w:separator/>
      </w:r>
    </w:p>
    <w:p w14:paraId="5A8919DC" w14:textId="77777777" w:rsidR="00CD6849" w:rsidRDefault="00CD6849" w:rsidP="00097CC5"/>
  </w:footnote>
  <w:footnote w:type="continuationSeparator" w:id="0">
    <w:p w14:paraId="3C05977A" w14:textId="77777777" w:rsidR="00CD6849" w:rsidRDefault="00CD6849" w:rsidP="00097CC5">
      <w:r>
        <w:continuationSeparator/>
      </w:r>
    </w:p>
    <w:p w14:paraId="3D91021B" w14:textId="77777777" w:rsidR="00CD6849" w:rsidRDefault="00CD6849" w:rsidP="00097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0C2A" w14:textId="0133964B" w:rsidR="00A10471" w:rsidRPr="00D070C0" w:rsidRDefault="006866F1" w:rsidP="009147F0">
    <w:pPr>
      <w:pStyle w:val="ContactInformation"/>
      <w:jc w:val="both"/>
    </w:pPr>
    <w:r>
      <w:rPr>
        <w:noProof/>
      </w:rPr>
      <w:drawing>
        <wp:inline distT="0" distB="0" distL="0" distR="0" wp14:anchorId="7F726D0D" wp14:editId="3B4C8268">
          <wp:extent cx="2133600" cy="533400"/>
          <wp:effectExtent l="0" t="0" r="0" b="0"/>
          <wp:docPr id="604824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24467" name="Picture 604824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471">
      <w:t xml:space="preserve"> </w:t>
    </w:r>
    <w:r w:rsidR="00A10471">
      <w:ptab w:relativeTo="margin" w:alignment="right" w:leader="none"/>
    </w:r>
    <w:r w:rsidR="00A10471">
      <w:ptab w:relativeTo="margin" w:alignment="right" w:leader="none"/>
    </w:r>
    <w:r w:rsidR="00A104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050"/>
    <w:multiLevelType w:val="hybridMultilevel"/>
    <w:tmpl w:val="72DCC574"/>
    <w:lvl w:ilvl="0" w:tplc="9FAAD08E">
      <w:start w:val="3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072DF"/>
    <w:multiLevelType w:val="hybridMultilevel"/>
    <w:tmpl w:val="4F92FCA0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74E"/>
    <w:multiLevelType w:val="hybridMultilevel"/>
    <w:tmpl w:val="6DF0F5D0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F2CC3018">
      <w:start w:val="3"/>
      <w:numFmt w:val="bullet"/>
      <w:lvlText w:val=""/>
      <w:lvlJc w:val="left"/>
      <w:pPr>
        <w:ind w:left="1440" w:hanging="360"/>
      </w:pPr>
      <w:rPr>
        <w:rFonts w:ascii="Symbol" w:eastAsiaTheme="majorEastAsia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C4D"/>
    <w:multiLevelType w:val="hybridMultilevel"/>
    <w:tmpl w:val="B3D81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8A3"/>
    <w:multiLevelType w:val="hybridMultilevel"/>
    <w:tmpl w:val="02E8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206"/>
    <w:multiLevelType w:val="hybridMultilevel"/>
    <w:tmpl w:val="873A1F4A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163"/>
    <w:multiLevelType w:val="hybridMultilevel"/>
    <w:tmpl w:val="658E4D4E"/>
    <w:lvl w:ilvl="0" w:tplc="9FAAD08E">
      <w:start w:val="3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36736D"/>
    <w:multiLevelType w:val="hybridMultilevel"/>
    <w:tmpl w:val="CA105030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E2881"/>
    <w:multiLevelType w:val="hybridMultilevel"/>
    <w:tmpl w:val="709232AA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0B2C"/>
    <w:multiLevelType w:val="hybridMultilevel"/>
    <w:tmpl w:val="90B4ADB8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39BD"/>
    <w:multiLevelType w:val="hybridMultilevel"/>
    <w:tmpl w:val="80E2D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437BC"/>
    <w:multiLevelType w:val="hybridMultilevel"/>
    <w:tmpl w:val="B3D81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267B"/>
    <w:multiLevelType w:val="hybridMultilevel"/>
    <w:tmpl w:val="E0E09F46"/>
    <w:lvl w:ilvl="0" w:tplc="9FAAD08E">
      <w:start w:val="3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3457B"/>
    <w:multiLevelType w:val="hybridMultilevel"/>
    <w:tmpl w:val="A8D8F6A0"/>
    <w:lvl w:ilvl="0" w:tplc="9FAAD08E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37516">
    <w:abstractNumId w:val="10"/>
  </w:num>
  <w:num w:numId="2" w16cid:durableId="869221626">
    <w:abstractNumId w:val="11"/>
  </w:num>
  <w:num w:numId="3" w16cid:durableId="1981838998">
    <w:abstractNumId w:val="3"/>
  </w:num>
  <w:num w:numId="4" w16cid:durableId="1975133006">
    <w:abstractNumId w:val="4"/>
  </w:num>
  <w:num w:numId="5" w16cid:durableId="1329404520">
    <w:abstractNumId w:val="8"/>
  </w:num>
  <w:num w:numId="6" w16cid:durableId="1806390155">
    <w:abstractNumId w:val="6"/>
  </w:num>
  <w:num w:numId="7" w16cid:durableId="614017795">
    <w:abstractNumId w:val="7"/>
  </w:num>
  <w:num w:numId="8" w16cid:durableId="2072924952">
    <w:abstractNumId w:val="1"/>
  </w:num>
  <w:num w:numId="9" w16cid:durableId="903904705">
    <w:abstractNumId w:val="5"/>
  </w:num>
  <w:num w:numId="10" w16cid:durableId="952974519">
    <w:abstractNumId w:val="0"/>
  </w:num>
  <w:num w:numId="11" w16cid:durableId="475997061">
    <w:abstractNumId w:val="12"/>
  </w:num>
  <w:num w:numId="12" w16cid:durableId="1907494697">
    <w:abstractNumId w:val="9"/>
  </w:num>
  <w:num w:numId="13" w16cid:durableId="269969895">
    <w:abstractNumId w:val="2"/>
  </w:num>
  <w:num w:numId="14" w16cid:durableId="1810854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F1"/>
    <w:rsid w:val="00084CB5"/>
    <w:rsid w:val="000975D6"/>
    <w:rsid w:val="00097CC5"/>
    <w:rsid w:val="000C47C4"/>
    <w:rsid w:val="000C4844"/>
    <w:rsid w:val="00100A58"/>
    <w:rsid w:val="00101B5F"/>
    <w:rsid w:val="00107609"/>
    <w:rsid w:val="0014331B"/>
    <w:rsid w:val="001514AA"/>
    <w:rsid w:val="001773A4"/>
    <w:rsid w:val="00183C3B"/>
    <w:rsid w:val="001B4871"/>
    <w:rsid w:val="001C5DDA"/>
    <w:rsid w:val="001E5E3B"/>
    <w:rsid w:val="00227866"/>
    <w:rsid w:val="002344DF"/>
    <w:rsid w:val="00273C33"/>
    <w:rsid w:val="002C7753"/>
    <w:rsid w:val="002E7D3F"/>
    <w:rsid w:val="00311B6B"/>
    <w:rsid w:val="003358C8"/>
    <w:rsid w:val="0036380E"/>
    <w:rsid w:val="00396B98"/>
    <w:rsid w:val="003E721B"/>
    <w:rsid w:val="004226DA"/>
    <w:rsid w:val="00435321"/>
    <w:rsid w:val="00473EBF"/>
    <w:rsid w:val="004E726E"/>
    <w:rsid w:val="004F6614"/>
    <w:rsid w:val="0055387F"/>
    <w:rsid w:val="00566EB0"/>
    <w:rsid w:val="006866F1"/>
    <w:rsid w:val="006D46E9"/>
    <w:rsid w:val="007027BD"/>
    <w:rsid w:val="00751925"/>
    <w:rsid w:val="00796827"/>
    <w:rsid w:val="007D6CF0"/>
    <w:rsid w:val="008C2BE8"/>
    <w:rsid w:val="008E561B"/>
    <w:rsid w:val="009147F0"/>
    <w:rsid w:val="00923C47"/>
    <w:rsid w:val="00930E85"/>
    <w:rsid w:val="009A2DED"/>
    <w:rsid w:val="009A37A6"/>
    <w:rsid w:val="009A601B"/>
    <w:rsid w:val="009B168C"/>
    <w:rsid w:val="00A10471"/>
    <w:rsid w:val="00A152CB"/>
    <w:rsid w:val="00B001A5"/>
    <w:rsid w:val="00B252B7"/>
    <w:rsid w:val="00B50DC4"/>
    <w:rsid w:val="00BD34BE"/>
    <w:rsid w:val="00C1130F"/>
    <w:rsid w:val="00C73012"/>
    <w:rsid w:val="00C913D8"/>
    <w:rsid w:val="00CD6849"/>
    <w:rsid w:val="00D05282"/>
    <w:rsid w:val="00D070C0"/>
    <w:rsid w:val="00D10021"/>
    <w:rsid w:val="00D23116"/>
    <w:rsid w:val="00D32840"/>
    <w:rsid w:val="00DA7232"/>
    <w:rsid w:val="00E33B2D"/>
    <w:rsid w:val="00E438B5"/>
    <w:rsid w:val="00E767B0"/>
    <w:rsid w:val="00EB23C6"/>
    <w:rsid w:val="00EB79B6"/>
    <w:rsid w:val="00F119D9"/>
    <w:rsid w:val="00F17379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E7D57"/>
  <w15:chartTrackingRefBased/>
  <w15:docId w15:val="{88B62BEA-51E9-E94A-8CB3-445AD2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C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827"/>
    <w:pPr>
      <w:keepNext/>
      <w:keepLines/>
      <w:spacing w:before="120"/>
      <w:outlineLvl w:val="0"/>
    </w:pPr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827"/>
    <w:pPr>
      <w:keepNext/>
      <w:keepLines/>
      <w:spacing w:before="120"/>
      <w:outlineLvl w:val="1"/>
    </w:pPr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827"/>
    <w:pPr>
      <w:keepNext/>
      <w:keepLines/>
      <w:spacing w:before="120"/>
      <w:outlineLvl w:val="2"/>
    </w:pPr>
    <w:rPr>
      <w:rFonts w:eastAsiaTheme="majorEastAsia" w:cstheme="majorBidi"/>
      <w:color w:val="5A002C" w:themeColor="accent1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6827"/>
    <w:pPr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0E85"/>
    <w:pPr>
      <w:keepNext/>
      <w:keepLines/>
      <w:spacing w:before="80" w:after="40"/>
      <w:outlineLvl w:val="4"/>
    </w:pPr>
    <w:rPr>
      <w:rFonts w:eastAsiaTheme="majorEastAsia" w:cstheme="majorBidi"/>
      <w:color w:val="5A00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2626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85"/>
    <w:pPr>
      <w:keepNext/>
      <w:keepLines/>
      <w:spacing w:before="40" w:after="0"/>
      <w:outlineLvl w:val="6"/>
    </w:pPr>
    <w:rPr>
      <w:rFonts w:eastAsiaTheme="majorEastAsia" w:cstheme="majorBidi"/>
      <w:color w:val="62626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85"/>
    <w:pPr>
      <w:keepNext/>
      <w:keepLines/>
      <w:spacing w:after="0"/>
      <w:outlineLvl w:val="7"/>
    </w:pPr>
    <w:rPr>
      <w:rFonts w:eastAsiaTheme="majorEastAsia" w:cstheme="majorBidi"/>
      <w:i/>
      <w:iCs/>
      <w:color w:val="33333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85"/>
    <w:pPr>
      <w:keepNext/>
      <w:keepLines/>
      <w:spacing w:after="0"/>
      <w:outlineLvl w:val="8"/>
    </w:pPr>
    <w:rPr>
      <w:rFonts w:eastAsiaTheme="majorEastAsia" w:cstheme="majorBidi"/>
      <w:color w:val="33333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827"/>
    <w:rPr>
      <w:rFonts w:asciiTheme="majorHAnsi" w:eastAsiaTheme="majorEastAsia" w:hAnsiTheme="majorHAnsi" w:cs="Arial"/>
      <w:b/>
      <w:bCs/>
      <w:color w:val="5A00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827"/>
    <w:rPr>
      <w:rFonts w:eastAsiaTheme="majorEastAsia" w:cstheme="majorBidi"/>
      <w:color w:val="5A00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6827"/>
    <w:rPr>
      <w:rFonts w:eastAsiaTheme="majorEastAsia" w:cstheme="majorBidi"/>
      <w:b/>
      <w:color w:val="5A002C" w:themeColor="accent1" w:themeShade="BF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30E85"/>
    <w:rPr>
      <w:rFonts w:eastAsiaTheme="majorEastAsia" w:cstheme="majorBidi"/>
      <w:color w:val="5A00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85"/>
    <w:rPr>
      <w:rFonts w:eastAsiaTheme="majorEastAsia" w:cstheme="majorBidi"/>
      <w:i/>
      <w:iCs/>
      <w:color w:val="62626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85"/>
    <w:rPr>
      <w:rFonts w:eastAsiaTheme="majorEastAsia" w:cstheme="majorBidi"/>
      <w:color w:val="62626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85"/>
    <w:rPr>
      <w:rFonts w:eastAsiaTheme="majorEastAsia" w:cstheme="majorBidi"/>
      <w:i/>
      <w:iCs/>
      <w:color w:val="33333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85"/>
    <w:rPr>
      <w:rFonts w:eastAsiaTheme="majorEastAsia" w:cstheme="majorBidi"/>
      <w:color w:val="333333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3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Large Emphasis"/>
    <w:basedOn w:val="Normal"/>
    <w:next w:val="Normal"/>
    <w:link w:val="SubtitleChar"/>
    <w:uiPriority w:val="11"/>
    <w:rsid w:val="00097CC5"/>
    <w:pPr>
      <w:numPr>
        <w:ilvl w:val="1"/>
      </w:numPr>
    </w:pPr>
    <w:rPr>
      <w:rFonts w:eastAsiaTheme="majorEastAsia" w:cstheme="majorBidi"/>
      <w:color w:val="495965" w:themeColor="accent3"/>
      <w:spacing w:val="15"/>
      <w:sz w:val="28"/>
      <w:szCs w:val="28"/>
    </w:rPr>
  </w:style>
  <w:style w:type="character" w:customStyle="1" w:styleId="SubtitleChar">
    <w:name w:val="Subtitle Char"/>
    <w:aliases w:val="Large Emphasis Char"/>
    <w:basedOn w:val="DefaultParagraphFont"/>
    <w:link w:val="Subtitle"/>
    <w:uiPriority w:val="11"/>
    <w:rsid w:val="00097CC5"/>
    <w:rPr>
      <w:rFonts w:eastAsiaTheme="majorEastAsia" w:cstheme="majorBidi"/>
      <w:color w:val="495965" w:themeColor="accent3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C5"/>
    <w:pPr>
      <w:spacing w:before="160"/>
      <w:jc w:val="center"/>
    </w:pPr>
    <w:rPr>
      <w:iCs/>
      <w:color w:val="495965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097CC5"/>
    <w:rPr>
      <w:iCs/>
      <w:color w:val="495965" w:themeColor="text2"/>
    </w:rPr>
  </w:style>
  <w:style w:type="paragraph" w:styleId="ListParagraph">
    <w:name w:val="List Paragraph"/>
    <w:basedOn w:val="Normal"/>
    <w:uiPriority w:val="34"/>
    <w:qFormat/>
    <w:rsid w:val="0093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85"/>
    <w:rPr>
      <w:b/>
      <w:i w:val="0"/>
      <w:iCs/>
      <w:color w:val="5A00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33"/>
    <w:pPr>
      <w:pBdr>
        <w:top w:val="single" w:sz="4" w:space="10" w:color="5A002C" w:themeColor="accent1" w:themeShade="BF"/>
        <w:bottom w:val="single" w:sz="4" w:space="10" w:color="5A002C" w:themeColor="accent1" w:themeShade="BF"/>
      </w:pBdr>
      <w:spacing w:before="240" w:after="240"/>
      <w:ind w:left="864" w:right="864"/>
    </w:pPr>
    <w:rPr>
      <w:iCs/>
      <w:color w:val="5A00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33"/>
    <w:rPr>
      <w:iCs/>
      <w:color w:val="5A00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85"/>
    <w:rPr>
      <w:b/>
      <w:bCs/>
      <w:smallCaps/>
      <w:color w:val="5A002C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97CC5"/>
    <w:rPr>
      <w:iCs/>
      <w:color w:val="495965" w:themeColor="accent3"/>
    </w:rPr>
  </w:style>
  <w:style w:type="character" w:styleId="Emphasis">
    <w:name w:val="Emphasis"/>
    <w:basedOn w:val="DefaultParagraphFont"/>
    <w:uiPriority w:val="20"/>
    <w:qFormat/>
    <w:rsid w:val="00930E85"/>
    <w:rPr>
      <w:b/>
      <w:i w:val="0"/>
      <w:iCs/>
    </w:rPr>
  </w:style>
  <w:style w:type="character" w:styleId="BookTitle">
    <w:name w:val="Book Title"/>
    <w:basedOn w:val="DefaultParagraphFont"/>
    <w:uiPriority w:val="33"/>
    <w:qFormat/>
    <w:rsid w:val="00930E85"/>
    <w:rPr>
      <w:b/>
      <w:bCs/>
      <w:i w:val="0"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97CC5"/>
    <w:rPr>
      <w:caps w:val="0"/>
      <w:smallCaps w:val="0"/>
      <w:color w:val="495965" w:themeColor="text2"/>
    </w:rPr>
  </w:style>
  <w:style w:type="paragraph" w:customStyle="1" w:styleId="ContactInformation">
    <w:name w:val="Contact Information"/>
    <w:basedOn w:val="Normal"/>
    <w:link w:val="ContactInformationChar"/>
    <w:qFormat/>
    <w:rsid w:val="00C1130F"/>
    <w:pPr>
      <w:spacing w:after="0" w:line="240" w:lineRule="auto"/>
    </w:pPr>
    <w:rPr>
      <w:rFonts w:ascii="Arial" w:eastAsia="Arial" w:hAnsi="Arial" w:cs="Arial"/>
      <w:color w:val="495965"/>
      <w:sz w:val="18"/>
      <w:szCs w:val="18"/>
    </w:rPr>
  </w:style>
  <w:style w:type="character" w:customStyle="1" w:styleId="ContactInformationChar">
    <w:name w:val="Contact Information Char"/>
    <w:basedOn w:val="DefaultParagraphFont"/>
    <w:link w:val="ContactInformation"/>
    <w:rsid w:val="00C1130F"/>
    <w:rPr>
      <w:rFonts w:ascii="Arial" w:eastAsia="Arial" w:hAnsi="Arial" w:cs="Arial"/>
      <w:color w:val="49596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F"/>
  </w:style>
  <w:style w:type="paragraph" w:styleId="Footer">
    <w:name w:val="footer"/>
    <w:basedOn w:val="Normal"/>
    <w:link w:val="FooterChar"/>
    <w:uiPriority w:val="99"/>
    <w:unhideWhenUsed/>
    <w:rsid w:val="00C1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F"/>
  </w:style>
  <w:style w:type="paragraph" w:customStyle="1" w:styleId="DatelineandAddress">
    <w:name w:val="Dateline and Address"/>
    <w:basedOn w:val="Normal"/>
    <w:link w:val="DatelineandAddressChar"/>
    <w:qFormat/>
    <w:rsid w:val="00796827"/>
    <w:pPr>
      <w:spacing w:after="0"/>
    </w:pPr>
    <w:rPr>
      <w:color w:val="495965" w:themeColor="accent3"/>
    </w:rPr>
  </w:style>
  <w:style w:type="character" w:customStyle="1" w:styleId="DatelineandAddressChar">
    <w:name w:val="Dateline and Address Char"/>
    <w:basedOn w:val="DefaultParagraphFont"/>
    <w:link w:val="DatelineandAddress"/>
    <w:rsid w:val="00796827"/>
    <w:rPr>
      <w:color w:val="495965" w:themeColor="accent3"/>
    </w:rPr>
  </w:style>
  <w:style w:type="paragraph" w:customStyle="1" w:styleId="p1">
    <w:name w:val="p1"/>
    <w:basedOn w:val="Normal"/>
    <w:rsid w:val="00473EB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473EB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473EBF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473EBF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473EBF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DefaultParagraphFont"/>
    <w:rsid w:val="00473EBF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473EBF"/>
    <w:rPr>
      <w:rFonts w:ascii="Courier New" w:hAnsi="Courier New" w:cs="Courier New" w:hint="default"/>
      <w:sz w:val="18"/>
      <w:szCs w:val="18"/>
    </w:rPr>
  </w:style>
  <w:style w:type="character" w:customStyle="1" w:styleId="s4">
    <w:name w:val="s4"/>
    <w:basedOn w:val="DefaultParagraphFont"/>
    <w:rsid w:val="00473EBF"/>
    <w:rPr>
      <w:color w:val="000000"/>
    </w:rPr>
  </w:style>
  <w:style w:type="character" w:customStyle="1" w:styleId="s5">
    <w:name w:val="s5"/>
    <w:basedOn w:val="DefaultParagraphFont"/>
    <w:rsid w:val="00473EBF"/>
    <w:rPr>
      <w:color w:val="0000FF"/>
    </w:rPr>
  </w:style>
  <w:style w:type="character" w:customStyle="1" w:styleId="s6">
    <w:name w:val="s6"/>
    <w:basedOn w:val="DefaultParagraphFont"/>
    <w:rsid w:val="00473EBF"/>
    <w:rPr>
      <w:rFonts w:ascii="Verdana" w:hAnsi="Verdana" w:hint="default"/>
      <w:color w:val="000000"/>
      <w:sz w:val="14"/>
      <w:szCs w:val="14"/>
    </w:rPr>
  </w:style>
  <w:style w:type="table" w:styleId="TableGrid">
    <w:name w:val="Table Grid"/>
    <w:basedOn w:val="TableNormal"/>
    <w:uiPriority w:val="39"/>
    <w:rsid w:val="0047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D9"/>
    <w:rPr>
      <w:color w:val="7900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nces.ed.gov/ipeds/cool/" TargetMode="External"/><Relationship Id="rId26" Type="http://schemas.openxmlformats.org/officeDocument/2006/relationships/hyperlink" Target="https://nsldsfap.ed.gov/nslds_FAP/" TargetMode="External"/><Relationship Id="rId39" Type="http://schemas.openxmlformats.org/officeDocument/2006/relationships/hyperlink" Target="https://orders.gpo.gov/EDU/EDUPubs.aspx" TargetMode="External"/><Relationship Id="rId21" Type="http://schemas.openxmlformats.org/officeDocument/2006/relationships/hyperlink" Target="https://ifap.ed.gov/foreign-school-information" TargetMode="External"/><Relationship Id="rId34" Type="http://schemas.openxmlformats.org/officeDocument/2006/relationships/hyperlink" Target="https://ifap.ed.gov/foreign-school-information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udentaid.ed.gov" TargetMode="External"/><Relationship Id="rId20" Type="http://schemas.openxmlformats.org/officeDocument/2006/relationships/hyperlink" Target="https://studentaid.gov/feedback-ombudsman" TargetMode="External"/><Relationship Id="rId29" Type="http://schemas.openxmlformats.org/officeDocument/2006/relationships/hyperlink" Target="https://ifap.ed.gov/foreign-school-informatio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udentaid.gov/taxonomy/term/153?width=300px&amp;height=auto&amp;className=glossaryterm&amp;closeButton=true" TargetMode="External"/><Relationship Id="rId32" Type="http://schemas.openxmlformats.org/officeDocument/2006/relationships/hyperlink" Target="https://nsldsfap.ed.gov/nslds_FAP/" TargetMode="External"/><Relationship Id="rId37" Type="http://schemas.openxmlformats.org/officeDocument/2006/relationships/hyperlink" Target="http://www.studentaid.ed.gov" TargetMode="External"/><Relationship Id="rId40" Type="http://schemas.openxmlformats.org/officeDocument/2006/relationships/hyperlink" Target="mailto:customerservice.edpubs@gpo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fap.ed.gov/foreign-school-information" TargetMode="External"/><Relationship Id="rId23" Type="http://schemas.openxmlformats.org/officeDocument/2006/relationships/hyperlink" Target="http://www.jumpstart.org" TargetMode="External"/><Relationship Id="rId28" Type="http://schemas.openxmlformats.org/officeDocument/2006/relationships/hyperlink" Target="https://nsldsfap.ed.gov/nslds_FAP/" TargetMode="External"/><Relationship Id="rId36" Type="http://schemas.openxmlformats.org/officeDocument/2006/relationships/hyperlink" Target="https://www.ed.gov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lssonline.com/tools/search.asp" TargetMode="External"/><Relationship Id="rId31" Type="http://schemas.openxmlformats.org/officeDocument/2006/relationships/hyperlink" Target="https://nsldsfap.ed.gov/nslds_FA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mappingyourfuture.org/" TargetMode="External"/><Relationship Id="rId27" Type="http://schemas.openxmlformats.org/officeDocument/2006/relationships/hyperlink" Target="https://nsldsfap.ed.gov/nslds_FAP/" TargetMode="External"/><Relationship Id="rId30" Type="http://schemas.openxmlformats.org/officeDocument/2006/relationships/hyperlink" Target="https://ifap.ed.gov/electronic-announcements/01-18-2001-ensuring-student-loan-repayment" TargetMode="External"/><Relationship Id="rId35" Type="http://schemas.openxmlformats.org/officeDocument/2006/relationships/hyperlink" Target="http://www.ifap.ed.go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studentaid.ed.gov" TargetMode="External"/><Relationship Id="rId25" Type="http://schemas.openxmlformats.org/officeDocument/2006/relationships/hyperlink" Target="https://studentaid.gov/resources" TargetMode="External"/><Relationship Id="rId33" Type="http://schemas.openxmlformats.org/officeDocument/2006/relationships/hyperlink" Target="https://cod.ed.gov/cod/LoginPage" TargetMode="External"/><Relationship Id="rId38" Type="http://schemas.openxmlformats.org/officeDocument/2006/relationships/hyperlink" Target="https://nsldsfap.ed.gov/nslds_FAP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liepocsai/Downloads/mcmaster-bw-evolved-letterhead-generic.dotx" TargetMode="External"/></Relationships>
</file>

<file path=word/theme/theme1.xml><?xml version="1.0" encoding="utf-8"?>
<a:theme xmlns:a="http://schemas.openxmlformats.org/drawingml/2006/main" name="Office Theme">
  <a:themeElements>
    <a:clrScheme name="McMaster Colours Word 2024">
      <a:dk1>
        <a:srgbClr val="0F0F0F"/>
      </a:dk1>
      <a:lt1>
        <a:srgbClr val="FFFFFF"/>
      </a:lt1>
      <a:dk2>
        <a:srgbClr val="495965"/>
      </a:dk2>
      <a:lt2>
        <a:srgbClr val="FFFFFF"/>
      </a:lt2>
      <a:accent1>
        <a:srgbClr val="79003C"/>
      </a:accent1>
      <a:accent2>
        <a:srgbClr val="FDBF57"/>
      </a:accent2>
      <a:accent3>
        <a:srgbClr val="495965"/>
      </a:accent3>
      <a:accent4>
        <a:srgbClr val="0E5B3D"/>
      </a:accent4>
      <a:accent5>
        <a:srgbClr val="0D5D78"/>
      </a:accent5>
      <a:accent6>
        <a:srgbClr val="000000"/>
      </a:accent6>
      <a:hlink>
        <a:srgbClr val="79003C"/>
      </a:hlink>
      <a:folHlink>
        <a:srgbClr val="2A0014"/>
      </a:folHlink>
    </a:clrScheme>
    <a:fontScheme name="McMaster Fonts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233091C895840822FEDDA1FD44B1D" ma:contentTypeVersion="14" ma:contentTypeDescription="Create a new document." ma:contentTypeScope="" ma:versionID="e6cbade890729a747f5a624c80b7eab2">
  <xsd:schema xmlns:xsd="http://www.w3.org/2001/XMLSchema" xmlns:xs="http://www.w3.org/2001/XMLSchema" xmlns:p="http://schemas.microsoft.com/office/2006/metadata/properties" xmlns:ns2="e0d7ebd6-3b32-4b1f-82a9-366e0e5ca542" xmlns:ns3="06ba8109-2b5f-4e14-b6c1-6b6af65e0efe" targetNamespace="http://schemas.microsoft.com/office/2006/metadata/properties" ma:root="true" ma:fieldsID="effaf1df8fd7e9db481f71e22b279f24" ns2:_="" ns3:_="">
    <xsd:import namespace="e0d7ebd6-3b32-4b1f-82a9-366e0e5ca542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ebd6-3b32-4b1f-82a9-366e0e5ca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7ebd6-3b32-4b1f-82a9-366e0e5ca542">
      <Terms xmlns="http://schemas.microsoft.com/office/infopath/2007/PartnerControls"/>
    </lcf76f155ced4ddcb4097134ff3c332f>
    <TaxCatchAll xmlns="06ba8109-2b5f-4e14-b6c1-6b6af65e0e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0090-7861-4068-A64F-C82A0234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ebd6-3b32-4b1f-82a9-366e0e5ca542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6F247-FD35-4B8D-A7F8-3384F4E6D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1DE54-2A36-4871-9ED3-DD4058D0FB2F}">
  <ds:schemaRefs>
    <ds:schemaRef ds:uri="http://schemas.microsoft.com/office/2006/metadata/properties"/>
    <ds:schemaRef ds:uri="http://schemas.microsoft.com/office/infopath/2007/PartnerControls"/>
    <ds:schemaRef ds:uri="e0d7ebd6-3b32-4b1f-82a9-366e0e5ca542"/>
    <ds:schemaRef ds:uri="06ba8109-2b5f-4e14-b6c1-6b6af65e0efe"/>
  </ds:schemaRefs>
</ds:datastoreItem>
</file>

<file path=customXml/itemProps4.xml><?xml version="1.0" encoding="utf-8"?>
<ds:datastoreItem xmlns:ds="http://schemas.openxmlformats.org/officeDocument/2006/customXml" ds:itemID="{BFCF7F1E-AF50-4D70-A488-6D1DB219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mcmaster-bw-evolved-letterhead-generic.dotx</Template>
  <TotalTime>39</TotalTime>
  <Pages>9</Pages>
  <Words>3901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Pocsai</dc:creator>
  <cp:keywords/>
  <dc:description/>
  <cp:lastModifiedBy>Julia Issa</cp:lastModifiedBy>
  <cp:revision>4</cp:revision>
  <dcterms:created xsi:type="dcterms:W3CDTF">2025-03-20T15:49:00Z</dcterms:created>
  <dcterms:modified xsi:type="dcterms:W3CDTF">2025-07-22T18:05:00Z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0x0101009FF233091C895840822FEDDA1FD44B1D</vt:lpwstr>
  </property>
  <property fmtid="{D5CDD505-2E9C-101B-9397-08002B2CF9AE}" pid="3" name="Order">
    <vt:r8>4271900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